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A4A0F" w:rsidRDefault="00AA4A0F" w:rsidP="00AA4A0F">
      <w:pPr>
        <w:rPr>
          <w:rFonts w:eastAsia="Times New Roman"/>
          <w:b/>
          <w:bCs/>
          <w:iCs/>
          <w:color w:val="283164"/>
          <w:sz w:val="22"/>
          <w:szCs w:val="22"/>
        </w:rPr>
      </w:pPr>
      <w:r>
        <w:rPr>
          <w:rFonts w:eastAsia="Times New Roman"/>
          <w:b/>
          <w:bCs/>
          <w:iCs/>
          <w:color w:val="283164"/>
          <w:sz w:val="22"/>
          <w:szCs w:val="22"/>
        </w:rPr>
        <w:t>Příloha č. II.</w:t>
      </w:r>
    </w:p>
    <w:p w:rsidR="00AA4A0F" w:rsidRDefault="00AA4A0F" w:rsidP="00AA4A0F">
      <w:pPr>
        <w:rPr>
          <w:rFonts w:eastAsia="Times New Roman"/>
          <w:b/>
          <w:bCs/>
          <w:iCs/>
          <w:color w:val="283164"/>
          <w:sz w:val="22"/>
          <w:szCs w:val="22"/>
        </w:rPr>
      </w:pPr>
    </w:p>
    <w:p w:rsidR="00AA4A0F" w:rsidRDefault="00AA4A0F" w:rsidP="00AA4A0F">
      <w:pPr>
        <w:jc w:val="center"/>
        <w:rPr>
          <w:b/>
          <w:sz w:val="24"/>
          <w:szCs w:val="24"/>
        </w:rPr>
      </w:pPr>
      <w:r w:rsidRPr="009538A3">
        <w:rPr>
          <w:b/>
          <w:sz w:val="24"/>
          <w:szCs w:val="24"/>
        </w:rPr>
        <w:t>Smluvní ujednání pro pojištění majetku</w:t>
      </w:r>
    </w:p>
    <w:p w:rsidR="00AA4A0F" w:rsidRPr="009538A3" w:rsidRDefault="00AA4A0F" w:rsidP="00AA4A0F">
      <w:pPr>
        <w:jc w:val="center"/>
        <w:rPr>
          <w:b/>
          <w:sz w:val="24"/>
          <w:szCs w:val="24"/>
        </w:rPr>
      </w:pPr>
      <w:r w:rsidRPr="009538A3">
        <w:rPr>
          <w:b/>
          <w:sz w:val="24"/>
          <w:szCs w:val="24"/>
        </w:rPr>
        <w:t>„</w:t>
      </w:r>
      <w:proofErr w:type="spellStart"/>
      <w:r w:rsidRPr="009538A3">
        <w:rPr>
          <w:b/>
          <w:sz w:val="24"/>
          <w:szCs w:val="24"/>
        </w:rPr>
        <w:t>VZ_Ústí</w:t>
      </w:r>
      <w:proofErr w:type="spellEnd"/>
      <w:r w:rsidRPr="009538A3">
        <w:rPr>
          <w:b/>
          <w:sz w:val="24"/>
          <w:szCs w:val="24"/>
        </w:rPr>
        <w:t xml:space="preserve"> </w:t>
      </w:r>
      <w:proofErr w:type="spellStart"/>
      <w:r w:rsidRPr="009538A3">
        <w:rPr>
          <w:b/>
          <w:sz w:val="24"/>
          <w:szCs w:val="24"/>
        </w:rPr>
        <w:t>n.O._Smluvní</w:t>
      </w:r>
      <w:proofErr w:type="spellEnd"/>
      <w:r w:rsidRPr="009538A3">
        <w:rPr>
          <w:b/>
          <w:sz w:val="24"/>
          <w:szCs w:val="24"/>
        </w:rPr>
        <w:t xml:space="preserve"> uje</w:t>
      </w:r>
      <w:r>
        <w:rPr>
          <w:b/>
          <w:sz w:val="24"/>
          <w:szCs w:val="24"/>
        </w:rPr>
        <w:t>dnání pro pojištění majetku“</w:t>
      </w:r>
    </w:p>
    <w:p w:rsidR="00AA4A0F" w:rsidRDefault="00AA4A0F" w:rsidP="00AA4A0F">
      <w:pPr>
        <w:rPr>
          <w:sz w:val="22"/>
          <w:szCs w:val="22"/>
        </w:rPr>
      </w:pPr>
    </w:p>
    <w:p w:rsidR="00AA4A0F" w:rsidRPr="009538A3" w:rsidRDefault="00AA4A0F" w:rsidP="00AA4A0F">
      <w:pPr>
        <w:rPr>
          <w:szCs w:val="18"/>
        </w:rPr>
      </w:pPr>
      <w:r w:rsidRPr="009538A3">
        <w:rPr>
          <w:szCs w:val="18"/>
        </w:rPr>
        <w:t>Návrhy pojistných smluv musí dále obsahovat níže uvedená smluvní ujednání vztahující se k pojištění majetku:</w:t>
      </w:r>
    </w:p>
    <w:p w:rsidR="00AA4A0F" w:rsidRDefault="00AA4A0F" w:rsidP="00AA4A0F">
      <w:pPr>
        <w:rPr>
          <w:sz w:val="22"/>
          <w:szCs w:val="22"/>
        </w:rPr>
      </w:pPr>
    </w:p>
    <w:tbl>
      <w:tblPr>
        <w:tblW w:w="0" w:type="auto"/>
        <w:shd w:val="clear" w:color="auto" w:fill="283164"/>
        <w:tblLook w:val="01E0" w:firstRow="1" w:lastRow="1" w:firstColumn="1" w:lastColumn="1" w:noHBand="0" w:noVBand="0"/>
      </w:tblPr>
      <w:tblGrid>
        <w:gridCol w:w="9072"/>
      </w:tblGrid>
      <w:tr w:rsidR="00AA4A0F" w:rsidRPr="009538A3" w:rsidTr="008E72B6">
        <w:trPr>
          <w:trHeight w:val="825"/>
        </w:trPr>
        <w:tc>
          <w:tcPr>
            <w:tcW w:w="9783" w:type="dxa"/>
            <w:shd w:val="clear" w:color="auto" w:fill="283164"/>
          </w:tcPr>
          <w:p w:rsidR="00AA4A0F" w:rsidRPr="009538A3" w:rsidRDefault="00AA4A0F" w:rsidP="00AA4A0F">
            <w:pPr>
              <w:pStyle w:val="Nadpis1"/>
              <w:numPr>
                <w:ilvl w:val="0"/>
                <w:numId w:val="10"/>
              </w:numPr>
              <w:tabs>
                <w:tab w:val="clear" w:pos="431"/>
              </w:tabs>
              <w:spacing w:before="240" w:after="240" w:line="240" w:lineRule="auto"/>
              <w:ind w:left="0" w:firstLine="0"/>
              <w:rPr>
                <w:color w:val="FFFFFF"/>
                <w:sz w:val="28"/>
                <w:szCs w:val="28"/>
              </w:rPr>
            </w:pPr>
            <w:bookmarkStart w:id="0" w:name="_Toc256786275"/>
            <w:r w:rsidRPr="009538A3">
              <w:rPr>
                <w:color w:val="FFFFFF"/>
                <w:sz w:val="28"/>
                <w:szCs w:val="28"/>
              </w:rPr>
              <w:t>Pojištění majetku a přerušení provozu</w:t>
            </w:r>
            <w:bookmarkEnd w:id="0"/>
          </w:p>
        </w:tc>
      </w:tr>
    </w:tbl>
    <w:p w:rsidR="00AA4A0F" w:rsidRPr="00510BD7" w:rsidRDefault="00AA4A0F" w:rsidP="00AA4A0F">
      <w:pPr>
        <w:widowControl w:val="0"/>
        <w:rPr>
          <w:sz w:val="10"/>
          <w:szCs w:val="10"/>
        </w:rPr>
      </w:pPr>
    </w:p>
    <w:tbl>
      <w:tblPr>
        <w:tblW w:w="0" w:type="auto"/>
        <w:tblBorders>
          <w:top w:val="single" w:sz="4" w:space="0" w:color="3366FF"/>
          <w:left w:val="single" w:sz="4" w:space="0" w:color="3366FF"/>
          <w:bottom w:val="single" w:sz="4" w:space="0" w:color="3366FF"/>
          <w:right w:val="single" w:sz="4" w:space="0" w:color="3366FF"/>
          <w:insideH w:val="single" w:sz="4" w:space="0" w:color="3366FF"/>
          <w:insideV w:val="single" w:sz="4" w:space="0" w:color="3366FF"/>
        </w:tblBorders>
        <w:shd w:val="clear" w:color="auto" w:fill="3366FF"/>
        <w:tblLook w:val="01E0" w:firstRow="1" w:lastRow="1" w:firstColumn="1" w:lastColumn="1" w:noHBand="0" w:noVBand="0"/>
      </w:tblPr>
      <w:tblGrid>
        <w:gridCol w:w="9062"/>
      </w:tblGrid>
      <w:tr w:rsidR="00AA4A0F" w:rsidRPr="009538A3" w:rsidTr="008E72B6">
        <w:trPr>
          <w:trHeight w:val="525"/>
        </w:trPr>
        <w:tc>
          <w:tcPr>
            <w:tcW w:w="9768" w:type="dxa"/>
            <w:shd w:val="clear" w:color="auto" w:fill="3366FF"/>
          </w:tcPr>
          <w:p w:rsidR="00AA4A0F" w:rsidRPr="009538A3" w:rsidRDefault="00AA4A0F" w:rsidP="00AA4A0F">
            <w:pPr>
              <w:pStyle w:val="Nadpis2"/>
              <w:numPr>
                <w:ilvl w:val="1"/>
                <w:numId w:val="10"/>
              </w:numPr>
              <w:spacing w:before="120" w:after="120" w:line="240" w:lineRule="auto"/>
              <w:ind w:left="578" w:hanging="578"/>
              <w:rPr>
                <w:color w:val="FFFFFF"/>
                <w:sz w:val="24"/>
                <w:szCs w:val="24"/>
              </w:rPr>
            </w:pPr>
            <w:bookmarkStart w:id="1" w:name="_Toc256786276"/>
            <w:r w:rsidRPr="009538A3">
              <w:rPr>
                <w:color w:val="FFFFFF"/>
                <w:sz w:val="24"/>
                <w:szCs w:val="24"/>
              </w:rPr>
              <w:t>Živelní pojištění majetku</w:t>
            </w:r>
            <w:bookmarkEnd w:id="1"/>
          </w:p>
        </w:tc>
      </w:tr>
    </w:tbl>
    <w:p w:rsidR="00AA4A0F" w:rsidRPr="00C41B08" w:rsidRDefault="00AA4A0F" w:rsidP="00AA4A0F">
      <w:pPr>
        <w:pStyle w:val="Nadpis3"/>
        <w:keepNext w:val="0"/>
        <w:widowControl w:val="0"/>
        <w:numPr>
          <w:ilvl w:val="2"/>
          <w:numId w:val="12"/>
        </w:numPr>
        <w:tabs>
          <w:tab w:val="clear" w:pos="2340"/>
          <w:tab w:val="num" w:pos="1080"/>
        </w:tabs>
        <w:spacing w:line="240" w:lineRule="auto"/>
        <w:ind w:left="2342" w:hanging="2342"/>
        <w:rPr>
          <w:sz w:val="24"/>
          <w:szCs w:val="24"/>
        </w:rPr>
      </w:pPr>
      <w:bookmarkStart w:id="2" w:name="_Toc256786507"/>
      <w:bookmarkStart w:id="3" w:name="_Toc256786671"/>
      <w:r w:rsidRPr="00C41B08">
        <w:rPr>
          <w:sz w:val="24"/>
          <w:szCs w:val="24"/>
        </w:rPr>
        <w:t>Automatické pojištění nového majetku</w:t>
      </w:r>
      <w:bookmarkEnd w:id="2"/>
      <w:bookmarkEnd w:id="3"/>
    </w:p>
    <w:p w:rsidR="00AA4A0F" w:rsidRPr="00F95BE3" w:rsidRDefault="00AA4A0F" w:rsidP="00AA4A0F">
      <w:r>
        <w:rPr>
          <w:rFonts w:cs="Arial"/>
          <w:szCs w:val="22"/>
        </w:rPr>
        <w:t xml:space="preserve">Ujednává se, že veškerý nový majetek, který pojištěný nabude v průběhu pojistného období, je automaticky zahrnut do pojištění. Zvýší-li se tím pojistná částka o méně než </w:t>
      </w:r>
      <w:proofErr w:type="gramStart"/>
      <w:r>
        <w:rPr>
          <w:rFonts w:cs="Arial"/>
          <w:szCs w:val="22"/>
        </w:rPr>
        <w:t>15%</w:t>
      </w:r>
      <w:proofErr w:type="gramEnd"/>
      <w:r>
        <w:rPr>
          <w:rFonts w:cs="Arial"/>
          <w:szCs w:val="22"/>
        </w:rPr>
        <w:t>, nebude pojistitel požadovat doplatek pojistného. Pojištěný je povinen oznámit navýšení pojistných částek, pokud dojde ke zvýšení hodnoty pojištěných věcí v průběhu pojistného období o více než 15 %. Pojistitel se zavazuje účtovat dodatečné pojistné vypočtené pojistnou sazbou použitou pro výpočet pojistného uvedeného v pojistné smlouvě.</w:t>
      </w:r>
    </w:p>
    <w:p w:rsidR="00AA4A0F" w:rsidRPr="00C41B08" w:rsidRDefault="00AA4A0F" w:rsidP="00AA4A0F">
      <w:pPr>
        <w:pStyle w:val="Nadpis3"/>
        <w:keepNext w:val="0"/>
        <w:widowControl w:val="0"/>
        <w:numPr>
          <w:ilvl w:val="2"/>
          <w:numId w:val="12"/>
        </w:numPr>
        <w:tabs>
          <w:tab w:val="clear" w:pos="2340"/>
          <w:tab w:val="num" w:pos="1080"/>
        </w:tabs>
        <w:spacing w:line="240" w:lineRule="auto"/>
        <w:ind w:hanging="2340"/>
        <w:rPr>
          <w:sz w:val="24"/>
          <w:szCs w:val="24"/>
        </w:rPr>
      </w:pPr>
      <w:bookmarkStart w:id="4" w:name="_Toc256786508"/>
      <w:bookmarkStart w:id="5" w:name="_Toc256786672"/>
      <w:r w:rsidRPr="00C41B08">
        <w:rPr>
          <w:sz w:val="24"/>
          <w:szCs w:val="24"/>
        </w:rPr>
        <w:t>Inflační doložka</w:t>
      </w:r>
      <w:bookmarkEnd w:id="4"/>
      <w:bookmarkEnd w:id="5"/>
    </w:p>
    <w:p w:rsidR="00AA4A0F" w:rsidRPr="00F95BE3" w:rsidRDefault="00AA4A0F" w:rsidP="00AA4A0F">
      <w:r>
        <w:rPr>
          <w:rFonts w:cs="Arial"/>
          <w:szCs w:val="22"/>
        </w:rPr>
        <w:t xml:space="preserve">Pojišťovna nebude namítat podpojištění, dojde-li v průběhu pojistného období k navýšení pojistných hodnot v důsledku inflace menší než </w:t>
      </w:r>
      <w:proofErr w:type="gramStart"/>
      <w:r>
        <w:rPr>
          <w:rFonts w:cs="Arial"/>
          <w:szCs w:val="22"/>
        </w:rPr>
        <w:t>15%</w:t>
      </w:r>
      <w:proofErr w:type="gramEnd"/>
      <w:r>
        <w:rPr>
          <w:rFonts w:cs="Arial"/>
          <w:szCs w:val="22"/>
        </w:rPr>
        <w:t>.</w:t>
      </w:r>
    </w:p>
    <w:p w:rsidR="00AA4A0F" w:rsidRPr="00C41B08" w:rsidRDefault="00AA4A0F" w:rsidP="00AA4A0F">
      <w:pPr>
        <w:pStyle w:val="Nadpis3"/>
        <w:keepNext w:val="0"/>
        <w:widowControl w:val="0"/>
        <w:numPr>
          <w:ilvl w:val="2"/>
          <w:numId w:val="12"/>
        </w:numPr>
        <w:tabs>
          <w:tab w:val="clear" w:pos="2340"/>
          <w:tab w:val="num" w:pos="1080"/>
        </w:tabs>
        <w:spacing w:line="240" w:lineRule="auto"/>
        <w:ind w:hanging="2340"/>
        <w:rPr>
          <w:sz w:val="24"/>
          <w:szCs w:val="24"/>
        </w:rPr>
      </w:pPr>
      <w:bookmarkStart w:id="6" w:name="_Toc256786509"/>
      <w:bookmarkStart w:id="7" w:name="_Toc256786673"/>
      <w:r w:rsidRPr="00C41B08">
        <w:rPr>
          <w:sz w:val="24"/>
          <w:szCs w:val="24"/>
        </w:rPr>
        <w:t>Plnění pojistitele bez odpočtu opotřebení</w:t>
      </w:r>
      <w:bookmarkEnd w:id="6"/>
      <w:bookmarkEnd w:id="7"/>
    </w:p>
    <w:p w:rsidR="00AA4A0F" w:rsidRPr="00F95BE3" w:rsidRDefault="00AA4A0F" w:rsidP="00AA4A0F">
      <w:r w:rsidRPr="009538A3">
        <w:rPr>
          <w:rFonts w:cs="Arial"/>
          <w:szCs w:val="22"/>
        </w:rPr>
        <w:t>Pokud je předmět pojištění pojištěn na novou cenu, pak v případě poškození, ztráty nebo zničení pojištěných věcí vyplatí</w:t>
      </w:r>
      <w:r w:rsidRPr="00ED3016">
        <w:rPr>
          <w:rFonts w:cs="Arial"/>
          <w:szCs w:val="22"/>
        </w:rPr>
        <w:t xml:space="preserve"> pojistitel náklad na znovupořízení věci v době pojistné události sníženou o cenu případných zbytků bez odpočtu opotřebení</w:t>
      </w:r>
      <w:r>
        <w:rPr>
          <w:rFonts w:cs="Arial"/>
          <w:szCs w:val="22"/>
        </w:rPr>
        <w:t>.</w:t>
      </w:r>
    </w:p>
    <w:p w:rsidR="00AA4A0F" w:rsidRPr="00C41B08" w:rsidRDefault="00AA4A0F" w:rsidP="00AA4A0F">
      <w:pPr>
        <w:pStyle w:val="Nadpis3"/>
        <w:keepNext w:val="0"/>
        <w:widowControl w:val="0"/>
        <w:numPr>
          <w:ilvl w:val="2"/>
          <w:numId w:val="12"/>
        </w:numPr>
        <w:tabs>
          <w:tab w:val="clear" w:pos="2340"/>
          <w:tab w:val="num" w:pos="1080"/>
        </w:tabs>
        <w:spacing w:line="240" w:lineRule="auto"/>
        <w:ind w:hanging="2340"/>
        <w:rPr>
          <w:sz w:val="24"/>
          <w:szCs w:val="24"/>
        </w:rPr>
      </w:pPr>
      <w:bookmarkStart w:id="8" w:name="_Toc256786510"/>
      <w:bookmarkStart w:id="9" w:name="_Toc256786674"/>
      <w:r w:rsidRPr="00C41B08">
        <w:rPr>
          <w:sz w:val="24"/>
          <w:szCs w:val="24"/>
        </w:rPr>
        <w:t>Cizí věci užívané – plnění nových cenách</w:t>
      </w:r>
      <w:bookmarkEnd w:id="8"/>
      <w:bookmarkEnd w:id="9"/>
    </w:p>
    <w:p w:rsidR="00AA4A0F" w:rsidRPr="00F95BE3" w:rsidRDefault="00AA4A0F" w:rsidP="00AA4A0F">
      <w:r>
        <w:rPr>
          <w:rFonts w:cs="Arial"/>
          <w:szCs w:val="22"/>
        </w:rPr>
        <w:t>V případě cizích věcí užívaných pojištěným se ujednává, že v případě pojistné události pojistitel poskytne plnění v nové ceně.</w:t>
      </w:r>
    </w:p>
    <w:p w:rsidR="00AA4A0F" w:rsidRPr="00C41B08" w:rsidRDefault="00AA4A0F" w:rsidP="00AA4A0F">
      <w:pPr>
        <w:pStyle w:val="Nadpis3"/>
        <w:keepNext w:val="0"/>
        <w:widowControl w:val="0"/>
        <w:numPr>
          <w:ilvl w:val="2"/>
          <w:numId w:val="12"/>
        </w:numPr>
        <w:tabs>
          <w:tab w:val="clear" w:pos="2340"/>
          <w:tab w:val="num" w:pos="1080"/>
        </w:tabs>
        <w:spacing w:line="240" w:lineRule="auto"/>
        <w:ind w:left="1080" w:hanging="1080"/>
        <w:jc w:val="left"/>
        <w:rPr>
          <w:sz w:val="24"/>
          <w:szCs w:val="24"/>
        </w:rPr>
      </w:pPr>
      <w:bookmarkStart w:id="10" w:name="_Toc256786511"/>
      <w:bookmarkStart w:id="11" w:name="_Toc256786675"/>
      <w:r w:rsidRPr="00C41B08">
        <w:rPr>
          <w:sz w:val="24"/>
          <w:szCs w:val="24"/>
        </w:rPr>
        <w:t xml:space="preserve">Cizí věci užívané – automatické pojištění v případě přechodu vlastnictví </w:t>
      </w:r>
      <w:r>
        <w:rPr>
          <w:sz w:val="24"/>
          <w:szCs w:val="24"/>
        </w:rPr>
        <w:br/>
      </w:r>
      <w:r w:rsidRPr="00C41B08">
        <w:rPr>
          <w:sz w:val="24"/>
          <w:szCs w:val="24"/>
        </w:rPr>
        <w:t>na pojištěného</w:t>
      </w:r>
      <w:bookmarkEnd w:id="10"/>
      <w:bookmarkEnd w:id="11"/>
    </w:p>
    <w:p w:rsidR="00AA4A0F" w:rsidRPr="00F95BE3" w:rsidRDefault="00AA4A0F" w:rsidP="00AA4A0F">
      <w:r>
        <w:rPr>
          <w:rFonts w:cs="Arial"/>
          <w:szCs w:val="22"/>
        </w:rPr>
        <w:t>Ujednává se, že pojištěné cizí věci, které pojištěný užívá na základě leasingových, nájemních či jiných smluv, jsou v případě převodu do vlastnictví pojištěného automaticky pojištěny v rozsahu sjednané pojistné smlouvy.</w:t>
      </w:r>
    </w:p>
    <w:p w:rsidR="00AA4A0F" w:rsidRPr="00551FBC" w:rsidRDefault="00AA4A0F" w:rsidP="00AA4A0F">
      <w:pPr>
        <w:pStyle w:val="Nadpis3"/>
        <w:keepNext w:val="0"/>
        <w:widowControl w:val="0"/>
        <w:numPr>
          <w:ilvl w:val="2"/>
          <w:numId w:val="12"/>
        </w:numPr>
        <w:tabs>
          <w:tab w:val="clear" w:pos="2340"/>
          <w:tab w:val="num" w:pos="1080"/>
        </w:tabs>
        <w:spacing w:line="240" w:lineRule="auto"/>
        <w:ind w:hanging="2340"/>
      </w:pPr>
      <w:bookmarkStart w:id="12" w:name="_Toc256786512"/>
      <w:bookmarkStart w:id="13" w:name="_Toc256786676"/>
      <w:r w:rsidRPr="00551FBC">
        <w:rPr>
          <w:sz w:val="24"/>
          <w:szCs w:val="24"/>
        </w:rPr>
        <w:t>Místo pojištění – Česká republika</w:t>
      </w:r>
      <w:r w:rsidRPr="00551FBC">
        <w:t xml:space="preserve">                                            </w:t>
      </w:r>
      <w:bookmarkEnd w:id="12"/>
      <w:bookmarkEnd w:id="13"/>
    </w:p>
    <w:p w:rsidR="00AA4A0F" w:rsidRPr="00F95BE3" w:rsidRDefault="00AA4A0F" w:rsidP="00AA4A0F">
      <w:r w:rsidRPr="00551FBC">
        <w:rPr>
          <w:rFonts w:cs="Arial"/>
          <w:szCs w:val="22"/>
        </w:rPr>
        <w:t>Ujednává se, že mimo místa pojištění uvedená v pojistné smlouvě je místem pojištění všech předmětů pojištění území České republiky. Toto ujednání se vztahuje i na mobilní zařízení, které pojištěný zapůjčil na základě smlouvy obchodním partnerům na území ČR. Toto pojištění se sjednává na první riziko s limitem plnění:</w:t>
      </w:r>
    </w:p>
    <w:tbl>
      <w:tblPr>
        <w:tblW w:w="0" w:type="auto"/>
        <w:tblInd w:w="65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2474"/>
      </w:tblGrid>
      <w:tr w:rsidR="00AA4A0F" w:rsidTr="008E72B6">
        <w:tc>
          <w:tcPr>
            <w:tcW w:w="2624" w:type="dxa"/>
            <w:shd w:val="clear" w:color="auto" w:fill="FFFF99"/>
          </w:tcPr>
          <w:p w:rsidR="00AA4A0F" w:rsidRPr="00551FBC" w:rsidRDefault="00AA4A0F" w:rsidP="008E72B6">
            <w:pPr>
              <w:jc w:val="right"/>
              <w:rPr>
                <w:sz w:val="20"/>
              </w:rPr>
            </w:pPr>
            <w:r w:rsidRPr="00551FBC">
              <w:rPr>
                <w:sz w:val="20"/>
              </w:rPr>
              <w:t>5 000 000 Kč</w:t>
            </w:r>
          </w:p>
        </w:tc>
      </w:tr>
    </w:tbl>
    <w:p w:rsidR="00AA4A0F" w:rsidRPr="00C41B08" w:rsidRDefault="00AA4A0F" w:rsidP="00AA4A0F">
      <w:pPr>
        <w:pStyle w:val="Nadpis3"/>
        <w:keepNext w:val="0"/>
        <w:widowControl w:val="0"/>
        <w:numPr>
          <w:ilvl w:val="2"/>
          <w:numId w:val="12"/>
        </w:numPr>
        <w:tabs>
          <w:tab w:val="clear" w:pos="2340"/>
          <w:tab w:val="num" w:pos="1080"/>
        </w:tabs>
        <w:spacing w:line="240" w:lineRule="auto"/>
        <w:ind w:hanging="2340"/>
        <w:rPr>
          <w:sz w:val="24"/>
          <w:szCs w:val="24"/>
        </w:rPr>
      </w:pPr>
      <w:bookmarkStart w:id="14" w:name="_Toc256786513"/>
      <w:bookmarkStart w:id="15" w:name="_Toc256786677"/>
      <w:proofErr w:type="gramStart"/>
      <w:r w:rsidRPr="00C41B08">
        <w:rPr>
          <w:sz w:val="24"/>
          <w:szCs w:val="24"/>
        </w:rPr>
        <w:lastRenderedPageBreak/>
        <w:t>Spoluúčast - pojistná</w:t>
      </w:r>
      <w:proofErr w:type="gramEnd"/>
      <w:r w:rsidRPr="00C41B08">
        <w:rPr>
          <w:sz w:val="24"/>
          <w:szCs w:val="24"/>
        </w:rPr>
        <w:t xml:space="preserve"> událost na více souborech</w:t>
      </w:r>
      <w:bookmarkEnd w:id="14"/>
      <w:bookmarkEnd w:id="15"/>
      <w:r w:rsidRPr="00C41B08">
        <w:rPr>
          <w:sz w:val="24"/>
          <w:szCs w:val="24"/>
        </w:rPr>
        <w:t xml:space="preserve">  </w:t>
      </w:r>
    </w:p>
    <w:p w:rsidR="00AA4A0F" w:rsidRPr="00F95BE3" w:rsidRDefault="00AA4A0F" w:rsidP="00AA4A0F">
      <w:r w:rsidRPr="009538A3">
        <w:rPr>
          <w:rFonts w:cs="Arial"/>
          <w:szCs w:val="22"/>
        </w:rPr>
        <w:t>V případě pojistné události na více pojištěných souborech (z téže příčiny) odečte pojistitel pouze jednu spoluúčast, a to nejvyšší sjednanou, pokud není pro klienta výhodnější odečtení spoluúčastí z jednotlivých předmětů pojištění, jichž se pojistná událost týká. Toto se vztahuje také na případy, kdy pojistná událost nastane z téže příčiny na více místech pojištění.</w:t>
      </w:r>
    </w:p>
    <w:p w:rsidR="00AA4A0F" w:rsidRDefault="00AA4A0F" w:rsidP="00AA4A0F">
      <w:pPr>
        <w:pStyle w:val="Nadpis3"/>
        <w:keepNext w:val="0"/>
        <w:widowControl w:val="0"/>
        <w:numPr>
          <w:ilvl w:val="2"/>
          <w:numId w:val="12"/>
        </w:numPr>
        <w:tabs>
          <w:tab w:val="clear" w:pos="2340"/>
          <w:tab w:val="num" w:pos="1080"/>
        </w:tabs>
        <w:spacing w:line="240" w:lineRule="auto"/>
        <w:ind w:hanging="2340"/>
      </w:pPr>
      <w:bookmarkStart w:id="16" w:name="_Toc256786514"/>
      <w:bookmarkStart w:id="17" w:name="_Toc256786678"/>
      <w:r w:rsidRPr="00C41B08">
        <w:rPr>
          <w:sz w:val="24"/>
          <w:szCs w:val="24"/>
        </w:rPr>
        <w:t xml:space="preserve">Záplava, povodeň – změna definice                           </w:t>
      </w:r>
      <w:bookmarkEnd w:id="16"/>
      <w:bookmarkEnd w:id="17"/>
    </w:p>
    <w:p w:rsidR="00AA4A0F" w:rsidRPr="00F95BE3" w:rsidRDefault="00AA4A0F" w:rsidP="00AA4A0F">
      <w:r>
        <w:rPr>
          <w:rFonts w:cs="Arial"/>
          <w:szCs w:val="22"/>
        </w:rPr>
        <w:t xml:space="preserve">Plnění z pojištění rizika záplavy a povodně není omezeno skutečností, že záplava a povodeň měla charakter záplavy a povodně opakující se alespoň či nejvýše s určitou časovou periodu/frekvencí (např. </w:t>
      </w:r>
      <w:proofErr w:type="gramStart"/>
      <w:r>
        <w:rPr>
          <w:rFonts w:cs="Arial"/>
          <w:szCs w:val="22"/>
        </w:rPr>
        <w:t>20-letá</w:t>
      </w:r>
      <w:proofErr w:type="gramEnd"/>
      <w:r>
        <w:rPr>
          <w:rFonts w:cs="Arial"/>
          <w:szCs w:val="22"/>
        </w:rPr>
        <w:t xml:space="preserve"> voda apod.). Definice rizika záplavy a povodně není na časové periodě/frekvenci závislé.</w:t>
      </w:r>
    </w:p>
    <w:p w:rsidR="00AA4A0F" w:rsidRDefault="00AA4A0F" w:rsidP="00AA4A0F">
      <w:pPr>
        <w:pStyle w:val="Nadpis3"/>
        <w:keepNext w:val="0"/>
        <w:widowControl w:val="0"/>
        <w:numPr>
          <w:ilvl w:val="2"/>
          <w:numId w:val="12"/>
        </w:numPr>
        <w:tabs>
          <w:tab w:val="clear" w:pos="2340"/>
          <w:tab w:val="num" w:pos="1080"/>
        </w:tabs>
        <w:spacing w:line="240" w:lineRule="auto"/>
        <w:ind w:hanging="2340"/>
      </w:pPr>
      <w:bookmarkStart w:id="18" w:name="_Toc256786515"/>
      <w:bookmarkStart w:id="19" w:name="_Toc256786679"/>
      <w:r w:rsidRPr="00C41B08">
        <w:rPr>
          <w:sz w:val="24"/>
          <w:szCs w:val="24"/>
        </w:rPr>
        <w:t>Náraz dopravního prostředku, pád stromu</w:t>
      </w:r>
      <w:r>
        <w:t xml:space="preserve">                             </w:t>
      </w:r>
      <w:bookmarkEnd w:id="18"/>
      <w:bookmarkEnd w:id="19"/>
    </w:p>
    <w:p w:rsidR="00AA4A0F" w:rsidRPr="00F95BE3" w:rsidRDefault="00AA4A0F" w:rsidP="00AA4A0F">
      <w:r>
        <w:rPr>
          <w:rFonts w:cs="Arial"/>
          <w:szCs w:val="22"/>
        </w:rPr>
        <w:t>Ujednává se, že pojištění pro případ poškození nebo zničení pojištěné věci nárazem dopravního prostředku nebo jeho nákladu, pádem stromů, stožárů nebo jiných předmětů se vztahuje i na součásti poškozené věci nebo součásti téhož souboru jako poškozená věc.</w:t>
      </w:r>
    </w:p>
    <w:p w:rsidR="00AA4A0F" w:rsidRDefault="00AA4A0F" w:rsidP="00AA4A0F">
      <w:pPr>
        <w:pStyle w:val="Nadpis3"/>
        <w:keepNext w:val="0"/>
        <w:widowControl w:val="0"/>
        <w:numPr>
          <w:ilvl w:val="2"/>
          <w:numId w:val="12"/>
        </w:numPr>
        <w:tabs>
          <w:tab w:val="clear" w:pos="2340"/>
          <w:tab w:val="num" w:pos="900"/>
        </w:tabs>
        <w:spacing w:line="240" w:lineRule="auto"/>
        <w:ind w:hanging="2340"/>
      </w:pPr>
      <w:bookmarkStart w:id="20" w:name="_Toc256786516"/>
      <w:bookmarkStart w:id="21" w:name="_Toc256786680"/>
      <w:r w:rsidRPr="00C41B08">
        <w:rPr>
          <w:sz w:val="24"/>
          <w:szCs w:val="24"/>
        </w:rPr>
        <w:t>Katastrofická rizika – časové vymezení 1 pojistné události</w:t>
      </w:r>
      <w:bookmarkEnd w:id="20"/>
      <w:bookmarkEnd w:id="21"/>
    </w:p>
    <w:p w:rsidR="00AA4A0F" w:rsidRPr="00F95BE3" w:rsidRDefault="00AA4A0F" w:rsidP="00AA4A0F">
      <w:r>
        <w:rPr>
          <w:rFonts w:cs="Arial"/>
          <w:szCs w:val="22"/>
        </w:rPr>
        <w:t xml:space="preserve">Ujednává se, že škody způsobené riziky „záplava, povodeň“ a nastalé z jedné příčiny během 72 hodin se hodnotí jako jedna pojistná událost a z tohoto titulu se odečítá pouze jedna spoluúčast, pro riziko „vichřice a krupobití“ platí časová </w:t>
      </w:r>
      <w:r w:rsidRPr="009538A3">
        <w:rPr>
          <w:rFonts w:cs="Arial"/>
          <w:szCs w:val="22"/>
        </w:rPr>
        <w:t>lhůta 48 hodin. Toto se vztahuje také na případy, kdy pojistná událost nastane z téže příčiny na více místech pojištění.</w:t>
      </w:r>
    </w:p>
    <w:p w:rsidR="00AA4A0F" w:rsidRDefault="00AA4A0F" w:rsidP="00AA4A0F">
      <w:pPr>
        <w:pStyle w:val="Nadpis3"/>
        <w:keepNext w:val="0"/>
        <w:widowControl w:val="0"/>
        <w:numPr>
          <w:ilvl w:val="2"/>
          <w:numId w:val="12"/>
        </w:numPr>
        <w:tabs>
          <w:tab w:val="clear" w:pos="2340"/>
          <w:tab w:val="num" w:pos="1080"/>
        </w:tabs>
        <w:spacing w:line="240" w:lineRule="auto"/>
        <w:ind w:hanging="2340"/>
      </w:pPr>
      <w:bookmarkStart w:id="22" w:name="_Toc256786517"/>
      <w:bookmarkStart w:id="23" w:name="_Toc256786681"/>
      <w:r w:rsidRPr="00C41B08">
        <w:rPr>
          <w:sz w:val="24"/>
          <w:szCs w:val="24"/>
        </w:rPr>
        <w:t>Zpětné vystoupení vody z kanalizačních potrubí</w:t>
      </w:r>
      <w:r>
        <w:t xml:space="preserve">                 </w:t>
      </w:r>
      <w:bookmarkEnd w:id="22"/>
      <w:bookmarkEnd w:id="23"/>
    </w:p>
    <w:p w:rsidR="00AA4A0F" w:rsidRPr="00F95BE3" w:rsidRDefault="00AA4A0F" w:rsidP="00AA4A0F">
      <w:r>
        <w:rPr>
          <w:rFonts w:cs="Arial"/>
          <w:szCs w:val="22"/>
        </w:rPr>
        <w:t xml:space="preserve">Pojištění „záplava, povodeň“ resp. „vodovodních škod“ se vztahuje i na škody způsobené    zpětným vystoupením vody </w:t>
      </w:r>
      <w:proofErr w:type="gramStart"/>
      <w:r>
        <w:rPr>
          <w:rFonts w:cs="Arial"/>
          <w:szCs w:val="22"/>
        </w:rPr>
        <w:t>z  kanalizačního</w:t>
      </w:r>
      <w:proofErr w:type="gramEnd"/>
      <w:r>
        <w:rPr>
          <w:rFonts w:cs="Arial"/>
          <w:szCs w:val="22"/>
        </w:rPr>
        <w:t xml:space="preserve"> potrubí.</w:t>
      </w:r>
    </w:p>
    <w:p w:rsidR="00AA4A0F" w:rsidRDefault="00AA4A0F" w:rsidP="00AA4A0F">
      <w:pPr>
        <w:pStyle w:val="Nadpis3"/>
        <w:keepNext w:val="0"/>
        <w:widowControl w:val="0"/>
        <w:numPr>
          <w:ilvl w:val="2"/>
          <w:numId w:val="12"/>
        </w:numPr>
        <w:tabs>
          <w:tab w:val="clear" w:pos="2340"/>
          <w:tab w:val="num" w:pos="1080"/>
        </w:tabs>
        <w:spacing w:line="240" w:lineRule="auto"/>
        <w:ind w:hanging="2340"/>
      </w:pPr>
      <w:bookmarkStart w:id="24" w:name="_Toc256786518"/>
      <w:bookmarkStart w:id="25" w:name="_Toc256786682"/>
      <w:r w:rsidRPr="00C41B08">
        <w:rPr>
          <w:sz w:val="24"/>
          <w:szCs w:val="24"/>
        </w:rPr>
        <w:t xml:space="preserve">Vodovodní škody – potrubí                                                    </w:t>
      </w:r>
      <w:bookmarkEnd w:id="24"/>
      <w:bookmarkEnd w:id="25"/>
    </w:p>
    <w:p w:rsidR="00AA4A0F" w:rsidRPr="00F95BE3" w:rsidRDefault="00AA4A0F" w:rsidP="00AA4A0F">
      <w:r>
        <w:rPr>
          <w:rFonts w:cs="Arial"/>
          <w:szCs w:val="22"/>
        </w:rPr>
        <w:t>Pro pojištění vodovodních škod se ujednává také krytí škod na vodovodních či kanalizačních potrubí a zařízeních připojených na potrubí (včetně nákladu na odstranění závady a škod na těchto zařízeních) způsobených přetlakem páry nebo kapaliny nebo zamrznutím vody ve vodovodním či kanalizačním potrubí a zařízeních připojených na potrubí.</w:t>
      </w:r>
    </w:p>
    <w:p w:rsidR="00AA4A0F" w:rsidRDefault="00AA4A0F" w:rsidP="00AA4A0F">
      <w:pPr>
        <w:pStyle w:val="Nadpis3"/>
        <w:keepNext w:val="0"/>
        <w:widowControl w:val="0"/>
        <w:numPr>
          <w:ilvl w:val="2"/>
          <w:numId w:val="12"/>
        </w:numPr>
        <w:tabs>
          <w:tab w:val="clear" w:pos="2340"/>
          <w:tab w:val="num" w:pos="1080"/>
        </w:tabs>
        <w:spacing w:line="240" w:lineRule="auto"/>
        <w:ind w:hanging="2340"/>
      </w:pPr>
      <w:bookmarkStart w:id="26" w:name="_Toc256786519"/>
      <w:bookmarkStart w:id="27" w:name="_Toc256786683"/>
      <w:r w:rsidRPr="00C41B08">
        <w:rPr>
          <w:sz w:val="24"/>
          <w:szCs w:val="24"/>
        </w:rPr>
        <w:t>Vodovodní škody –  sprinklery</w:t>
      </w:r>
      <w:r>
        <w:t xml:space="preserve">                                               </w:t>
      </w:r>
      <w:bookmarkEnd w:id="26"/>
      <w:bookmarkEnd w:id="27"/>
    </w:p>
    <w:p w:rsidR="00AA4A0F" w:rsidRPr="00F95BE3" w:rsidRDefault="00AA4A0F" w:rsidP="00AA4A0F">
      <w:r>
        <w:rPr>
          <w:rFonts w:cs="Arial"/>
          <w:szCs w:val="22"/>
        </w:rPr>
        <w:t>Pojištění vodovodních škod se vztahuje i na škody způsobené vodou vytékající z klimatizačních zařízení, sprinklerových a samočinných hasících zařízení v důsledku poruchy tohoto zařízení.</w:t>
      </w:r>
    </w:p>
    <w:p w:rsidR="00AA4A0F" w:rsidRDefault="00AA4A0F" w:rsidP="00AA4A0F">
      <w:pPr>
        <w:rPr>
          <w:sz w:val="24"/>
        </w:rPr>
      </w:pPr>
    </w:p>
    <w:p w:rsidR="00AA4A0F" w:rsidRPr="00C41B08" w:rsidRDefault="00AA4A0F" w:rsidP="00AA4A0F">
      <w:pPr>
        <w:pStyle w:val="Nadpis3"/>
        <w:keepNext w:val="0"/>
        <w:widowControl w:val="0"/>
        <w:numPr>
          <w:ilvl w:val="2"/>
          <w:numId w:val="12"/>
        </w:numPr>
        <w:tabs>
          <w:tab w:val="clear" w:pos="2340"/>
          <w:tab w:val="num" w:pos="1080"/>
        </w:tabs>
        <w:spacing w:line="240" w:lineRule="auto"/>
        <w:ind w:hanging="2340"/>
        <w:rPr>
          <w:sz w:val="24"/>
          <w:szCs w:val="24"/>
        </w:rPr>
      </w:pPr>
      <w:bookmarkStart w:id="28" w:name="_Toc256786520"/>
      <w:bookmarkStart w:id="29" w:name="_Toc256786684"/>
      <w:r w:rsidRPr="00C41B08">
        <w:rPr>
          <w:sz w:val="24"/>
          <w:szCs w:val="24"/>
        </w:rPr>
        <w:t>Náklady na hašení, demolici, odvoz suti</w:t>
      </w:r>
      <w:bookmarkEnd w:id="28"/>
      <w:bookmarkEnd w:id="29"/>
    </w:p>
    <w:p w:rsidR="00AA4A0F" w:rsidRPr="00FC3090" w:rsidRDefault="00AA4A0F" w:rsidP="00AA4A0F">
      <w:pPr>
        <w:widowControl w:val="0"/>
        <w:rPr>
          <w:sz w:val="24"/>
        </w:rPr>
      </w:pPr>
      <w:r w:rsidRPr="009538A3">
        <w:rPr>
          <w:rFonts w:cs="Arial"/>
          <w:szCs w:val="22"/>
        </w:rPr>
        <w:t>Pojištění zahrnuje i krytí nákladů na hašení, demolici, odvoz suti, likvidaci zbytků a následků pojistné události včetně nákladů na dočasné přemístění majetku</w:t>
      </w:r>
      <w:r w:rsidRPr="009538A3">
        <w:rPr>
          <w:rFonts w:cs="Arial"/>
          <w:i/>
          <w:iCs/>
          <w:szCs w:val="22"/>
        </w:rPr>
        <w:t xml:space="preserve">. </w:t>
      </w:r>
      <w:r w:rsidRPr="009538A3">
        <w:rPr>
          <w:rFonts w:cs="Arial"/>
          <w:szCs w:val="22"/>
        </w:rPr>
        <w:t>Toto pojištění se sjednává na první riziko nebo s limitem plnění:</w:t>
      </w:r>
      <w:r w:rsidRPr="002855DE">
        <w:rPr>
          <w:sz w:val="24"/>
        </w:rPr>
        <w:t xml:space="preserve"> </w:t>
      </w:r>
    </w:p>
    <w:tbl>
      <w:tblPr>
        <w:tblW w:w="0" w:type="auto"/>
        <w:tblInd w:w="65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2474"/>
      </w:tblGrid>
      <w:tr w:rsidR="00AA4A0F" w:rsidRPr="00DE3CA0" w:rsidTr="008E72B6">
        <w:tc>
          <w:tcPr>
            <w:tcW w:w="2624" w:type="dxa"/>
            <w:shd w:val="clear" w:color="auto" w:fill="FFFF99"/>
          </w:tcPr>
          <w:p w:rsidR="00AA4A0F" w:rsidRPr="009538A3" w:rsidRDefault="00AA4A0F" w:rsidP="008E72B6">
            <w:pPr>
              <w:rPr>
                <w:szCs w:val="18"/>
              </w:rPr>
            </w:pPr>
            <w:r w:rsidRPr="009538A3">
              <w:rPr>
                <w:szCs w:val="18"/>
              </w:rPr>
              <w:t>50 000 000 Kč</w:t>
            </w:r>
          </w:p>
        </w:tc>
      </w:tr>
    </w:tbl>
    <w:p w:rsidR="00AA4A0F" w:rsidRDefault="00AA4A0F" w:rsidP="00AA4A0F">
      <w:pPr>
        <w:pStyle w:val="Nadpis3"/>
        <w:keepNext w:val="0"/>
        <w:widowControl w:val="0"/>
        <w:numPr>
          <w:ilvl w:val="2"/>
          <w:numId w:val="12"/>
        </w:numPr>
        <w:tabs>
          <w:tab w:val="clear" w:pos="2340"/>
          <w:tab w:val="num" w:pos="1080"/>
        </w:tabs>
        <w:spacing w:line="240" w:lineRule="auto"/>
        <w:ind w:hanging="2340"/>
      </w:pPr>
      <w:bookmarkStart w:id="30" w:name="_Toc256786521"/>
      <w:bookmarkStart w:id="31" w:name="_Toc256786685"/>
      <w:r w:rsidRPr="00C41B08">
        <w:rPr>
          <w:sz w:val="24"/>
          <w:szCs w:val="24"/>
        </w:rPr>
        <w:t xml:space="preserve">Pojištění investic – rozšíření pojistného krytí               </w:t>
      </w:r>
      <w:bookmarkEnd w:id="30"/>
      <w:bookmarkEnd w:id="31"/>
    </w:p>
    <w:p w:rsidR="00AA4A0F" w:rsidRDefault="00AA4A0F" w:rsidP="00AA4A0F">
      <w:pPr>
        <w:rPr>
          <w:rFonts w:cs="Arial"/>
          <w:szCs w:val="22"/>
        </w:rPr>
      </w:pPr>
      <w:r w:rsidRPr="009538A3">
        <w:rPr>
          <w:rFonts w:cs="Arial"/>
          <w:szCs w:val="22"/>
        </w:rPr>
        <w:lastRenderedPageBreak/>
        <w:t>Pojištění souboru nedokončených investic pojištěného do věcí movitých a nemovitých (budovy, haly a stavby) se sjednává pro věci, ke kterým přešlo nebezpečí škody na pojištěného. Toto pojištění se sjednává na pr</w:t>
      </w:r>
      <w:r>
        <w:rPr>
          <w:rFonts w:cs="Arial"/>
          <w:szCs w:val="22"/>
        </w:rPr>
        <w:t xml:space="preserve">vní riziko. </w:t>
      </w:r>
    </w:p>
    <w:p w:rsidR="00AA4A0F" w:rsidRPr="00F95BE3" w:rsidRDefault="00AA4A0F" w:rsidP="00AA4A0F"/>
    <w:p w:rsidR="00AA4A0F" w:rsidRPr="00C41B08" w:rsidRDefault="00AA4A0F" w:rsidP="00AA4A0F">
      <w:pPr>
        <w:pStyle w:val="Nadpis3"/>
        <w:keepNext w:val="0"/>
        <w:widowControl w:val="0"/>
        <w:numPr>
          <w:ilvl w:val="2"/>
          <w:numId w:val="12"/>
        </w:numPr>
        <w:tabs>
          <w:tab w:val="clear" w:pos="2340"/>
          <w:tab w:val="num" w:pos="1080"/>
        </w:tabs>
        <w:spacing w:before="120" w:line="240" w:lineRule="auto"/>
        <w:ind w:left="2342" w:hanging="2342"/>
        <w:rPr>
          <w:sz w:val="24"/>
          <w:szCs w:val="24"/>
        </w:rPr>
      </w:pPr>
      <w:bookmarkStart w:id="32" w:name="_Toc256786522"/>
      <w:bookmarkStart w:id="33" w:name="_Toc256786686"/>
      <w:r w:rsidRPr="00C41B08">
        <w:rPr>
          <w:sz w:val="24"/>
          <w:szCs w:val="24"/>
        </w:rPr>
        <w:t>Nepřímý úder blesku</w:t>
      </w:r>
      <w:bookmarkEnd w:id="32"/>
      <w:bookmarkEnd w:id="33"/>
    </w:p>
    <w:p w:rsidR="00AA4A0F" w:rsidRPr="00F95BE3" w:rsidRDefault="00AA4A0F" w:rsidP="00AA4A0F">
      <w:r>
        <w:rPr>
          <w:rFonts w:cs="Arial"/>
          <w:szCs w:val="22"/>
        </w:rPr>
        <w:t xml:space="preserve">Úderem blesku se rozumí také škoda vzniklá úderem blesku bez viditelných destrukčních účinků na věci nebo na budově. Zkrat nebo přepětí v elektrorozvodné nebo komunikační síti, k němuž došlo v důsledku působení blesku na tato </w:t>
      </w:r>
      <w:r w:rsidRPr="009538A3">
        <w:rPr>
          <w:rFonts w:cs="Arial"/>
          <w:szCs w:val="22"/>
        </w:rPr>
        <w:t>vedení je tímto také pojištěn.</w:t>
      </w:r>
      <w:r>
        <w:rPr>
          <w:rFonts w:cs="Arial"/>
          <w:szCs w:val="22"/>
        </w:rPr>
        <w:t xml:space="preserve"> Limit plnění = 1 mil. Kč.</w:t>
      </w:r>
    </w:p>
    <w:p w:rsidR="00AA4A0F" w:rsidRPr="00C41B08" w:rsidRDefault="00AA4A0F" w:rsidP="00AA4A0F">
      <w:pPr>
        <w:pStyle w:val="Nadpis3"/>
        <w:keepNext w:val="0"/>
        <w:widowControl w:val="0"/>
        <w:numPr>
          <w:ilvl w:val="2"/>
          <w:numId w:val="12"/>
        </w:numPr>
        <w:tabs>
          <w:tab w:val="clear" w:pos="2340"/>
          <w:tab w:val="num" w:pos="1080"/>
        </w:tabs>
        <w:spacing w:line="240" w:lineRule="auto"/>
        <w:ind w:hanging="2340"/>
        <w:rPr>
          <w:sz w:val="24"/>
          <w:szCs w:val="24"/>
        </w:rPr>
      </w:pPr>
      <w:bookmarkStart w:id="34" w:name="_Toc256786523"/>
      <w:bookmarkStart w:id="35" w:name="_Toc256786687"/>
      <w:r w:rsidRPr="00C41B08">
        <w:rPr>
          <w:sz w:val="24"/>
          <w:szCs w:val="24"/>
        </w:rPr>
        <w:t>Ztráta pojištěné věci v důsledku pojistné události</w:t>
      </w:r>
      <w:bookmarkEnd w:id="34"/>
      <w:bookmarkEnd w:id="35"/>
    </w:p>
    <w:p w:rsidR="00AA4A0F" w:rsidRPr="00F95BE3" w:rsidRDefault="00AA4A0F" w:rsidP="00AA4A0F">
      <w:r>
        <w:rPr>
          <w:rFonts w:cs="Arial"/>
          <w:szCs w:val="22"/>
        </w:rPr>
        <w:t>Ujednává se, že pojistitel poskytne plnění i v případě ztráty pojištěné věci v přímé souvislosti s pojistnou událostí pojištěnou touto pojistnou smlouvou.</w:t>
      </w:r>
    </w:p>
    <w:p w:rsidR="00AA4A0F" w:rsidRDefault="00AA4A0F" w:rsidP="00AA4A0F">
      <w:pPr>
        <w:pStyle w:val="Nadpis3"/>
        <w:keepNext w:val="0"/>
        <w:widowControl w:val="0"/>
        <w:numPr>
          <w:ilvl w:val="2"/>
          <w:numId w:val="12"/>
        </w:numPr>
        <w:tabs>
          <w:tab w:val="clear" w:pos="2340"/>
          <w:tab w:val="num" w:pos="1080"/>
        </w:tabs>
        <w:spacing w:line="240" w:lineRule="auto"/>
        <w:ind w:left="2342" w:hanging="2342"/>
      </w:pPr>
      <w:bookmarkStart w:id="36" w:name="_Toc256786524"/>
      <w:bookmarkStart w:id="37" w:name="_Toc256786688"/>
      <w:r w:rsidRPr="00C41B08">
        <w:rPr>
          <w:sz w:val="24"/>
          <w:szCs w:val="24"/>
        </w:rPr>
        <w:t>Omezení</w:t>
      </w:r>
      <w:r w:rsidRPr="00A2595D">
        <w:t xml:space="preserve"> </w:t>
      </w:r>
      <w:r w:rsidRPr="00C41B08">
        <w:rPr>
          <w:sz w:val="24"/>
          <w:szCs w:val="24"/>
        </w:rPr>
        <w:t>možnosti naturálního plnění</w:t>
      </w:r>
      <w:bookmarkEnd w:id="36"/>
      <w:bookmarkEnd w:id="37"/>
    </w:p>
    <w:p w:rsidR="00AA4A0F" w:rsidRPr="00F95BE3" w:rsidRDefault="00AA4A0F" w:rsidP="00AA4A0F">
      <w:r>
        <w:rPr>
          <w:rFonts w:cs="Arial"/>
          <w:szCs w:val="22"/>
        </w:rPr>
        <w:t>Pojistné plnění lze poskytnou pouze formou peněžité náhrady, nikoliv jako naturální plnění, pokud se obě smluvní strany nedohodnou jinak.</w:t>
      </w:r>
    </w:p>
    <w:p w:rsidR="00AA4A0F" w:rsidRPr="00C41B08" w:rsidRDefault="00AA4A0F" w:rsidP="00AA4A0F">
      <w:pPr>
        <w:pStyle w:val="Nadpis3"/>
        <w:keepNext w:val="0"/>
        <w:widowControl w:val="0"/>
        <w:numPr>
          <w:ilvl w:val="2"/>
          <w:numId w:val="12"/>
        </w:numPr>
        <w:tabs>
          <w:tab w:val="clear" w:pos="2340"/>
          <w:tab w:val="num" w:pos="1080"/>
        </w:tabs>
        <w:spacing w:line="240" w:lineRule="auto"/>
        <w:ind w:left="2342" w:hanging="2342"/>
        <w:rPr>
          <w:sz w:val="24"/>
          <w:szCs w:val="24"/>
        </w:rPr>
      </w:pPr>
      <w:bookmarkStart w:id="38" w:name="_Toc256786526"/>
      <w:bookmarkStart w:id="39" w:name="_Toc256786690"/>
      <w:r w:rsidRPr="00C41B08">
        <w:rPr>
          <w:sz w:val="24"/>
          <w:szCs w:val="24"/>
        </w:rPr>
        <w:t>Pojištění nemovitostí, na kterých jsou prováděny stavební úpravy</w:t>
      </w:r>
      <w:bookmarkEnd w:id="38"/>
      <w:bookmarkEnd w:id="39"/>
    </w:p>
    <w:p w:rsidR="00AA4A0F" w:rsidRDefault="00AA4A0F" w:rsidP="00AA4A0F">
      <w:r w:rsidRPr="009538A3">
        <w:rPr>
          <w:rFonts w:cs="Arial"/>
          <w:szCs w:val="22"/>
        </w:rPr>
        <w:t>Pojištění budov, hal a staveb (dále jen nemovitosti) se vztahuje také na škody vzniklé v důsledku pojištěných nebezpečí na nemovitostech na kterých jsou prováděny stavební úpravy, včetně těch</w:t>
      </w:r>
      <w:r>
        <w:rPr>
          <w:rFonts w:cs="Arial"/>
          <w:szCs w:val="22"/>
        </w:rPr>
        <w:t>,</w:t>
      </w:r>
      <w:r w:rsidRPr="009538A3">
        <w:rPr>
          <w:rFonts w:cs="Arial"/>
          <w:szCs w:val="22"/>
        </w:rPr>
        <w:t xml:space="preserve"> k nimž je třeba stavební povolení.  Pojištění se vztahuje také na nemovitosti ve výstavbě anebo před kolaudací, pokud k těmto nemovitostem přešlo nebezpečí škody na pojištěného, jakož i na věcech v takové nemovitosti umístěných, a to za předpokladu, že ke škodě nedošlo bezprostředně v důsledku stavebně montážní činnosti.</w:t>
      </w:r>
    </w:p>
    <w:p w:rsidR="00AA4A0F" w:rsidRPr="00082CB5" w:rsidRDefault="00AA4A0F" w:rsidP="00AA4A0F">
      <w:pPr>
        <w:rPr>
          <w:sz w:val="10"/>
          <w:szCs w:val="10"/>
        </w:rPr>
      </w:pPr>
      <w:r>
        <w:rPr>
          <w:b/>
        </w:rPr>
        <w:br w:type="page"/>
      </w:r>
    </w:p>
    <w:tbl>
      <w:tblPr>
        <w:tblW w:w="0" w:type="auto"/>
        <w:tblBorders>
          <w:top w:val="single" w:sz="4" w:space="0" w:color="3366FF"/>
          <w:left w:val="single" w:sz="4" w:space="0" w:color="3366FF"/>
          <w:bottom w:val="single" w:sz="4" w:space="0" w:color="3366FF"/>
          <w:right w:val="single" w:sz="4" w:space="0" w:color="3366FF"/>
          <w:insideH w:val="single" w:sz="4" w:space="0" w:color="3366FF"/>
          <w:insideV w:val="single" w:sz="4" w:space="0" w:color="3366FF"/>
        </w:tblBorders>
        <w:shd w:val="clear" w:color="auto" w:fill="3366FF"/>
        <w:tblLook w:val="01E0" w:firstRow="1" w:lastRow="1" w:firstColumn="1" w:lastColumn="1" w:noHBand="0" w:noVBand="0"/>
      </w:tblPr>
      <w:tblGrid>
        <w:gridCol w:w="9062"/>
      </w:tblGrid>
      <w:tr w:rsidR="00AA4A0F" w:rsidRPr="009538A3" w:rsidTr="008E72B6">
        <w:trPr>
          <w:trHeight w:val="525"/>
        </w:trPr>
        <w:tc>
          <w:tcPr>
            <w:tcW w:w="9798" w:type="dxa"/>
            <w:shd w:val="clear" w:color="auto" w:fill="3366FF"/>
          </w:tcPr>
          <w:p w:rsidR="00AA4A0F" w:rsidRPr="009538A3" w:rsidRDefault="00AA4A0F" w:rsidP="00AA4A0F">
            <w:pPr>
              <w:pStyle w:val="Nadpis2"/>
              <w:numPr>
                <w:ilvl w:val="1"/>
                <w:numId w:val="10"/>
              </w:numPr>
              <w:spacing w:before="120" w:after="120" w:line="240" w:lineRule="auto"/>
              <w:ind w:left="578" w:hanging="578"/>
              <w:rPr>
                <w:color w:val="FFFFFF"/>
                <w:sz w:val="24"/>
                <w:szCs w:val="24"/>
              </w:rPr>
            </w:pPr>
            <w:r w:rsidRPr="009538A3">
              <w:rPr>
                <w:sz w:val="24"/>
                <w:szCs w:val="24"/>
              </w:rPr>
              <w:lastRenderedPageBreak/>
              <w:br w:type="page"/>
            </w:r>
            <w:bookmarkStart w:id="40" w:name="_Toc256786277"/>
            <w:r w:rsidRPr="009538A3">
              <w:rPr>
                <w:color w:val="FFFFFF"/>
                <w:sz w:val="24"/>
                <w:szCs w:val="24"/>
              </w:rPr>
              <w:t>Pojištění majetku proti odcizení</w:t>
            </w:r>
            <w:bookmarkEnd w:id="40"/>
          </w:p>
        </w:tc>
      </w:tr>
    </w:tbl>
    <w:p w:rsidR="00AA4A0F" w:rsidRPr="00C41B08" w:rsidRDefault="00AA4A0F" w:rsidP="00AA4A0F">
      <w:pPr>
        <w:pStyle w:val="Nadpis3"/>
        <w:keepNext w:val="0"/>
        <w:widowControl w:val="0"/>
        <w:numPr>
          <w:ilvl w:val="2"/>
          <w:numId w:val="12"/>
        </w:numPr>
        <w:tabs>
          <w:tab w:val="clear" w:pos="2340"/>
          <w:tab w:val="num" w:pos="1080"/>
        </w:tabs>
        <w:spacing w:line="240" w:lineRule="auto"/>
        <w:ind w:left="2342" w:hanging="2342"/>
        <w:rPr>
          <w:sz w:val="24"/>
          <w:szCs w:val="24"/>
        </w:rPr>
      </w:pPr>
      <w:bookmarkStart w:id="41" w:name="_Toc256786527"/>
      <w:bookmarkStart w:id="42" w:name="_Toc256786691"/>
      <w:r w:rsidRPr="00C41B08">
        <w:rPr>
          <w:sz w:val="24"/>
          <w:szCs w:val="24"/>
        </w:rPr>
        <w:t>Odcizení, vandalismus – nezjištěný pachatel</w:t>
      </w:r>
      <w:bookmarkEnd w:id="41"/>
      <w:bookmarkEnd w:id="42"/>
    </w:p>
    <w:p w:rsidR="00AA4A0F" w:rsidRPr="00563772" w:rsidRDefault="00AA4A0F" w:rsidP="00AA4A0F">
      <w:r>
        <w:rPr>
          <w:rFonts w:cs="Arial"/>
          <w:szCs w:val="22"/>
        </w:rPr>
        <w:t>Pojištění se vztahuje i na případy, kdy bych pachatel činu nezjištěn.</w:t>
      </w:r>
    </w:p>
    <w:p w:rsidR="00AA4A0F" w:rsidRPr="00C41B08" w:rsidRDefault="00AA4A0F" w:rsidP="00AA4A0F">
      <w:pPr>
        <w:pStyle w:val="Nadpis3"/>
        <w:keepNext w:val="0"/>
        <w:widowControl w:val="0"/>
        <w:numPr>
          <w:ilvl w:val="2"/>
          <w:numId w:val="12"/>
        </w:numPr>
        <w:tabs>
          <w:tab w:val="clear" w:pos="2340"/>
          <w:tab w:val="num" w:pos="1080"/>
        </w:tabs>
        <w:spacing w:line="240" w:lineRule="auto"/>
        <w:ind w:left="2342" w:hanging="2342"/>
        <w:rPr>
          <w:sz w:val="24"/>
          <w:szCs w:val="24"/>
        </w:rPr>
      </w:pPr>
      <w:bookmarkStart w:id="43" w:name="_Toc256786528"/>
      <w:bookmarkStart w:id="44" w:name="_Toc256786692"/>
      <w:r w:rsidRPr="00C41B08">
        <w:rPr>
          <w:sz w:val="24"/>
          <w:szCs w:val="24"/>
        </w:rPr>
        <w:t>Prostý vandalismus</w:t>
      </w:r>
      <w:bookmarkEnd w:id="43"/>
      <w:bookmarkEnd w:id="44"/>
    </w:p>
    <w:p w:rsidR="00AA4A0F" w:rsidRPr="00563772" w:rsidRDefault="00AA4A0F" w:rsidP="00AA4A0F">
      <w:r w:rsidRPr="009538A3">
        <w:rPr>
          <w:rFonts w:cs="Arial"/>
          <w:szCs w:val="22"/>
        </w:rPr>
        <w:t>Pojištění vandalismu se vztahuje na úmyslné poškození nebo úmyslné zničení pojištěné věci, a to bez ohledu na to, zda toto poškození/ zničení nesouvisí s pokusem o vloupání, či s vloupáním.</w:t>
      </w:r>
    </w:p>
    <w:p w:rsidR="00AA4A0F" w:rsidRDefault="00AA4A0F" w:rsidP="00AA4A0F">
      <w:pPr>
        <w:pStyle w:val="Nadpis3"/>
        <w:keepNext w:val="0"/>
        <w:widowControl w:val="0"/>
        <w:numPr>
          <w:ilvl w:val="2"/>
          <w:numId w:val="12"/>
        </w:numPr>
        <w:tabs>
          <w:tab w:val="clear" w:pos="2340"/>
          <w:tab w:val="num" w:pos="1080"/>
        </w:tabs>
        <w:spacing w:line="240" w:lineRule="auto"/>
        <w:ind w:left="2342" w:hanging="2342"/>
      </w:pPr>
      <w:bookmarkStart w:id="45" w:name="_Toc256786529"/>
      <w:bookmarkStart w:id="46" w:name="_Toc256786693"/>
      <w:r w:rsidRPr="00C41B08">
        <w:rPr>
          <w:sz w:val="24"/>
          <w:szCs w:val="24"/>
        </w:rPr>
        <w:t>Mobilní elektronik</w:t>
      </w:r>
      <w:r>
        <w:rPr>
          <w:sz w:val="24"/>
          <w:szCs w:val="24"/>
        </w:rPr>
        <w:t>a</w:t>
      </w:r>
      <w:r>
        <w:t xml:space="preserve">                                                                      </w:t>
      </w:r>
      <w:bookmarkEnd w:id="45"/>
      <w:bookmarkEnd w:id="46"/>
    </w:p>
    <w:p w:rsidR="00AA4A0F" w:rsidRPr="00563772" w:rsidRDefault="00AA4A0F" w:rsidP="00AA4A0F">
      <w:r>
        <w:rPr>
          <w:rFonts w:cs="Arial"/>
          <w:szCs w:val="22"/>
        </w:rPr>
        <w:t>Pojištění se vztahuje i na případ odcizení přepravované mobilní elektroniky z dopravního prostředku (jako např. vozidla, vlaku, letadla, autobusu). Místem pojištění pro mobilní elektroniku je území Evropy. Pro toto pojištění se ujednává limit plnění:</w:t>
      </w:r>
    </w:p>
    <w:tbl>
      <w:tblPr>
        <w:tblW w:w="0" w:type="auto"/>
        <w:tblInd w:w="65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2474"/>
      </w:tblGrid>
      <w:tr w:rsidR="00AA4A0F" w:rsidTr="008E72B6">
        <w:tc>
          <w:tcPr>
            <w:tcW w:w="2624" w:type="dxa"/>
            <w:shd w:val="clear" w:color="auto" w:fill="FFFF99"/>
          </w:tcPr>
          <w:p w:rsidR="00AA4A0F" w:rsidRDefault="00AA4A0F" w:rsidP="008E72B6">
            <w:r>
              <w:t>50 000 Kč</w:t>
            </w:r>
          </w:p>
        </w:tc>
      </w:tr>
    </w:tbl>
    <w:p w:rsidR="00AA4A0F" w:rsidRDefault="00AA4A0F" w:rsidP="00AA4A0F">
      <w:pPr>
        <w:pStyle w:val="Nadpis3"/>
        <w:keepNext w:val="0"/>
        <w:widowControl w:val="0"/>
        <w:numPr>
          <w:ilvl w:val="2"/>
          <w:numId w:val="12"/>
        </w:numPr>
        <w:tabs>
          <w:tab w:val="clear" w:pos="2340"/>
          <w:tab w:val="num" w:pos="1080"/>
        </w:tabs>
        <w:spacing w:before="120" w:line="240" w:lineRule="auto"/>
        <w:ind w:left="2342" w:hanging="2342"/>
      </w:pPr>
      <w:bookmarkStart w:id="47" w:name="_Toc256786530"/>
      <w:bookmarkStart w:id="48" w:name="_Toc256786694"/>
      <w:r w:rsidRPr="00C41B08">
        <w:rPr>
          <w:sz w:val="24"/>
          <w:szCs w:val="24"/>
        </w:rPr>
        <w:t xml:space="preserve">Sprejeři   </w:t>
      </w:r>
      <w:r>
        <w:t xml:space="preserve">                                                                                        </w:t>
      </w:r>
      <w:bookmarkEnd w:id="47"/>
      <w:bookmarkEnd w:id="48"/>
    </w:p>
    <w:p w:rsidR="00AA4A0F" w:rsidRPr="00563772" w:rsidRDefault="00AA4A0F" w:rsidP="00AA4A0F">
      <w:r>
        <w:rPr>
          <w:rFonts w:cs="Arial"/>
          <w:szCs w:val="22"/>
        </w:rPr>
        <w:t xml:space="preserve">Ujednává se, že se pojištění vztahuje i na úmyslné poškození pojištěné věci malbami, nástřiky (např. spreji a barvami) nebo polepením. Při poškození pojištěné věci pojistným nebezpečím tohoto odstavce poskytne pojistitel plnění, jehož výše odpovídá přiměřeným a nezbytně vynaloženým nákladům na vyčištění, případně i opravu plochy, která byla pojistnou událostí bezprostředně dotčena. Vynaložil-li pojištěný po pojistné události </w:t>
      </w:r>
      <w:proofErr w:type="gramStart"/>
      <w:r>
        <w:rPr>
          <w:rFonts w:cs="Arial"/>
          <w:szCs w:val="22"/>
        </w:rPr>
        <w:t>náklady  na</w:t>
      </w:r>
      <w:proofErr w:type="gramEnd"/>
      <w:r>
        <w:rPr>
          <w:rFonts w:cs="Arial"/>
          <w:szCs w:val="22"/>
        </w:rPr>
        <w:t xml:space="preserve"> konzervaci pojištěné věci (např. prevence proti poškození spreji a barvami), budou součástí pojistného plnění i takto vynaložené náklady, max. však ve výši 20 % z částky vynaložené   na tuto konzervaci pojištěné věci. Pro toto pojištění se ujednává limit plnění:</w:t>
      </w:r>
    </w:p>
    <w:tbl>
      <w:tblPr>
        <w:tblW w:w="0" w:type="auto"/>
        <w:tblInd w:w="65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2474"/>
      </w:tblGrid>
      <w:tr w:rsidR="00AA4A0F" w:rsidTr="008E72B6">
        <w:tc>
          <w:tcPr>
            <w:tcW w:w="2624" w:type="dxa"/>
            <w:shd w:val="clear" w:color="auto" w:fill="FFFF99"/>
          </w:tcPr>
          <w:p w:rsidR="00AA4A0F" w:rsidRDefault="00AA4A0F" w:rsidP="008E72B6">
            <w:r>
              <w:t>50 000 Kč</w:t>
            </w:r>
          </w:p>
        </w:tc>
      </w:tr>
    </w:tbl>
    <w:p w:rsidR="00AA4A0F" w:rsidRPr="00C41B08" w:rsidRDefault="00AA4A0F" w:rsidP="00AA4A0F">
      <w:pPr>
        <w:pStyle w:val="Nadpis3"/>
        <w:keepNext w:val="0"/>
        <w:widowControl w:val="0"/>
        <w:numPr>
          <w:ilvl w:val="2"/>
          <w:numId w:val="12"/>
        </w:numPr>
        <w:tabs>
          <w:tab w:val="clear" w:pos="2340"/>
          <w:tab w:val="num" w:pos="1080"/>
        </w:tabs>
        <w:spacing w:before="120" w:line="240" w:lineRule="auto"/>
        <w:ind w:left="2342" w:hanging="2342"/>
        <w:rPr>
          <w:sz w:val="24"/>
          <w:szCs w:val="24"/>
        </w:rPr>
      </w:pPr>
      <w:bookmarkStart w:id="49" w:name="_Toc256786531"/>
      <w:bookmarkStart w:id="50" w:name="_Toc256786695"/>
      <w:r w:rsidRPr="00C41B08">
        <w:rPr>
          <w:sz w:val="24"/>
          <w:szCs w:val="24"/>
        </w:rPr>
        <w:t>Kamerové systémy – změna podmínek zabezpečení</w:t>
      </w:r>
      <w:bookmarkEnd w:id="49"/>
      <w:bookmarkEnd w:id="50"/>
    </w:p>
    <w:p w:rsidR="00AA4A0F" w:rsidRPr="00563772" w:rsidRDefault="00AA4A0F" w:rsidP="00AA4A0F">
      <w:r>
        <w:rPr>
          <w:rFonts w:cs="Arial"/>
          <w:szCs w:val="22"/>
        </w:rPr>
        <w:t>V případě pojistných událostí uplatňovaných na kamerovém systému poskytne pojistitel plnění, budou-li pojištěné věci umístěny mimo uzavřený prostor, mimo oplocené prostranství a při jejich odcizení dojde k překonání konstrukčního upevnění.</w:t>
      </w:r>
    </w:p>
    <w:p w:rsidR="00AA4A0F" w:rsidRPr="00C41B08" w:rsidRDefault="00AA4A0F" w:rsidP="00AA4A0F">
      <w:pPr>
        <w:pStyle w:val="Nadpis3"/>
        <w:keepNext w:val="0"/>
        <w:widowControl w:val="0"/>
        <w:numPr>
          <w:ilvl w:val="2"/>
          <w:numId w:val="12"/>
        </w:numPr>
        <w:tabs>
          <w:tab w:val="clear" w:pos="2340"/>
          <w:tab w:val="num" w:pos="1080"/>
        </w:tabs>
        <w:spacing w:line="240" w:lineRule="auto"/>
        <w:ind w:left="2342" w:hanging="2342"/>
        <w:rPr>
          <w:sz w:val="24"/>
          <w:szCs w:val="24"/>
        </w:rPr>
      </w:pPr>
      <w:bookmarkStart w:id="51" w:name="_Toc256786532"/>
      <w:bookmarkStart w:id="52" w:name="_Toc256786696"/>
      <w:r w:rsidRPr="00C41B08">
        <w:rPr>
          <w:sz w:val="24"/>
          <w:szCs w:val="24"/>
        </w:rPr>
        <w:t>Náklady na odstranění škody</w:t>
      </w:r>
      <w:bookmarkEnd w:id="51"/>
      <w:bookmarkEnd w:id="52"/>
    </w:p>
    <w:p w:rsidR="00AA4A0F" w:rsidRPr="00563772" w:rsidRDefault="00AA4A0F" w:rsidP="00AA4A0F">
      <w:r>
        <w:rPr>
          <w:rFonts w:cs="Arial"/>
          <w:szCs w:val="22"/>
        </w:rPr>
        <w:t xml:space="preserve">Pojištění zahrnuje do výše sjednané pojistné částky, resp. sjednaného limitu plnění i náklady na odstranění škod, které vznikly v důsledku </w:t>
      </w:r>
      <w:proofErr w:type="gramStart"/>
      <w:r>
        <w:rPr>
          <w:rFonts w:cs="Arial"/>
          <w:szCs w:val="22"/>
        </w:rPr>
        <w:t>odcizení</w:t>
      </w:r>
      <w:proofErr w:type="gramEnd"/>
      <w:r>
        <w:rPr>
          <w:rFonts w:cs="Arial"/>
          <w:szCs w:val="22"/>
        </w:rPr>
        <w:t xml:space="preserve"> resp. pokusu o odcizení, vč. pachatelem úmyslně poškozených a zničených věcí (vandalismus).</w:t>
      </w:r>
    </w:p>
    <w:p w:rsidR="00AA4A0F" w:rsidRPr="00082CB5" w:rsidRDefault="00AA4A0F" w:rsidP="00AA4A0F">
      <w:pPr>
        <w:rPr>
          <w:sz w:val="10"/>
          <w:szCs w:val="10"/>
        </w:rPr>
      </w:pPr>
      <w:r>
        <w:rPr>
          <w:b/>
        </w:rPr>
        <w:br w:type="page"/>
      </w:r>
    </w:p>
    <w:tbl>
      <w:tblPr>
        <w:tblW w:w="0" w:type="auto"/>
        <w:tblBorders>
          <w:top w:val="single" w:sz="4" w:space="0" w:color="3366FF"/>
          <w:left w:val="single" w:sz="4" w:space="0" w:color="3366FF"/>
          <w:bottom w:val="single" w:sz="4" w:space="0" w:color="3366FF"/>
          <w:right w:val="single" w:sz="4" w:space="0" w:color="3366FF"/>
          <w:insideH w:val="single" w:sz="4" w:space="0" w:color="3366FF"/>
          <w:insideV w:val="single" w:sz="4" w:space="0" w:color="3366FF"/>
        </w:tblBorders>
        <w:shd w:val="clear" w:color="auto" w:fill="3366FF"/>
        <w:tblLook w:val="01E0" w:firstRow="1" w:lastRow="1" w:firstColumn="1" w:lastColumn="1" w:noHBand="0" w:noVBand="0"/>
      </w:tblPr>
      <w:tblGrid>
        <w:gridCol w:w="9062"/>
      </w:tblGrid>
      <w:tr w:rsidR="00AA4A0F" w:rsidRPr="009538A3" w:rsidTr="008E72B6">
        <w:trPr>
          <w:trHeight w:val="495"/>
        </w:trPr>
        <w:tc>
          <w:tcPr>
            <w:tcW w:w="9813" w:type="dxa"/>
            <w:shd w:val="clear" w:color="auto" w:fill="3366FF"/>
          </w:tcPr>
          <w:p w:rsidR="00AA4A0F" w:rsidRPr="009538A3" w:rsidRDefault="00AA4A0F" w:rsidP="00AA4A0F">
            <w:pPr>
              <w:pStyle w:val="Nadpis2"/>
              <w:numPr>
                <w:ilvl w:val="1"/>
                <w:numId w:val="10"/>
              </w:numPr>
              <w:spacing w:before="120" w:after="120" w:line="240" w:lineRule="auto"/>
              <w:ind w:left="578" w:hanging="578"/>
              <w:rPr>
                <w:color w:val="FFFFFF"/>
                <w:sz w:val="24"/>
                <w:szCs w:val="24"/>
              </w:rPr>
            </w:pPr>
            <w:r w:rsidRPr="009538A3">
              <w:rPr>
                <w:sz w:val="24"/>
                <w:szCs w:val="24"/>
              </w:rPr>
              <w:lastRenderedPageBreak/>
              <w:br w:type="page"/>
            </w:r>
            <w:bookmarkStart w:id="53" w:name="_Toc256786278"/>
            <w:r w:rsidRPr="009538A3">
              <w:rPr>
                <w:color w:val="FFFFFF"/>
                <w:sz w:val="24"/>
                <w:szCs w:val="24"/>
              </w:rPr>
              <w:t>Podmínky zabezpečení</w:t>
            </w:r>
            <w:bookmarkEnd w:id="53"/>
          </w:p>
        </w:tc>
      </w:tr>
    </w:tbl>
    <w:p w:rsidR="00AA4A0F" w:rsidRPr="005664C4" w:rsidRDefault="00AA4A0F" w:rsidP="00AA4A0F">
      <w:pPr>
        <w:pStyle w:val="Nadpis3"/>
        <w:keepNext w:val="0"/>
        <w:widowControl w:val="0"/>
        <w:numPr>
          <w:ilvl w:val="2"/>
          <w:numId w:val="12"/>
        </w:numPr>
        <w:tabs>
          <w:tab w:val="clear" w:pos="2340"/>
          <w:tab w:val="num" w:pos="1080"/>
        </w:tabs>
        <w:spacing w:line="240" w:lineRule="auto"/>
        <w:ind w:left="2342" w:hanging="2342"/>
      </w:pPr>
      <w:bookmarkStart w:id="54" w:name="_Toc256786533"/>
      <w:bookmarkStart w:id="55" w:name="_Toc256786697"/>
      <w:r w:rsidRPr="00C41B08">
        <w:rPr>
          <w:sz w:val="24"/>
          <w:szCs w:val="24"/>
        </w:rPr>
        <w:t>Obecné</w:t>
      </w:r>
      <w:bookmarkEnd w:id="54"/>
      <w:bookmarkEnd w:id="55"/>
    </w:p>
    <w:p w:rsidR="00AA4A0F" w:rsidRDefault="00AA4A0F" w:rsidP="00AA4A0F">
      <w:pPr>
        <w:rPr>
          <w:rFonts w:cs="Arial"/>
          <w:szCs w:val="22"/>
        </w:rPr>
      </w:pPr>
      <w:r>
        <w:rPr>
          <w:rFonts w:cs="Arial"/>
          <w:szCs w:val="22"/>
        </w:rPr>
        <w:t xml:space="preserve">Odchylně od příslušných pojistných podmínek se ujednává, že za uzavřený prostor se považuje i prostor ohraničený prosklenou fasádou a prostor ohraničený pláštěm (i střechou) sendvičové konstrukce a lehkými stavebními příčkami (sádrokartonovými i prosklenými). Ve střeše se mohou nacházet světlíky a požární klapky. Za uzavřený prostor se dále považují také staveništní mobilní buňky. Za uzamčené dveře nebo vrata se považují i požární dveře, prosklené dveře (uzavřené elektromechanickým ovládáním) a vratové systémy. Za uzamčená vrata se považují i vrata a mříže uzavřené elektrickým pohonem. Prosklené plochy nemusí být mechanicky zabezpečeny. </w:t>
      </w:r>
    </w:p>
    <w:p w:rsidR="00AA4A0F" w:rsidRDefault="00AA4A0F" w:rsidP="00AA4A0F">
      <w:pPr>
        <w:rPr>
          <w:rFonts w:cs="Arial"/>
          <w:szCs w:val="22"/>
        </w:rPr>
      </w:pPr>
      <w:r w:rsidRPr="00082CB5">
        <w:rPr>
          <w:rFonts w:cs="Arial"/>
          <w:color w:val="FFFFFF"/>
          <w:sz w:val="10"/>
          <w:szCs w:val="10"/>
        </w:rPr>
        <w:t>5</w:t>
      </w:r>
      <w:r>
        <w:rPr>
          <w:rFonts w:cs="Arial"/>
          <w:szCs w:val="22"/>
        </w:rPr>
        <w:br/>
        <w:t>Elektrickým zabezpečovacím systémem se rozumí systém instalovaný dle projektové dokumentace nebo dle ČSN EN 50131 udržovaný v provozuschopném stavu, jehož signál je vyveden do místa se stálou obsluhou (za místo se stálou obsluhou se považuje i recepce a vrátnice).</w:t>
      </w:r>
    </w:p>
    <w:p w:rsidR="00AA4A0F" w:rsidRPr="005664C4" w:rsidRDefault="00AA4A0F" w:rsidP="00AA4A0F">
      <w:pPr>
        <w:pStyle w:val="Nadpis3"/>
        <w:keepNext w:val="0"/>
        <w:widowControl w:val="0"/>
        <w:numPr>
          <w:ilvl w:val="2"/>
          <w:numId w:val="12"/>
        </w:numPr>
        <w:tabs>
          <w:tab w:val="clear" w:pos="2340"/>
          <w:tab w:val="num" w:pos="1080"/>
        </w:tabs>
        <w:spacing w:line="240" w:lineRule="auto"/>
        <w:ind w:left="2342" w:hanging="2342"/>
      </w:pPr>
      <w:bookmarkStart w:id="56" w:name="_Toc256786534"/>
      <w:bookmarkStart w:id="57" w:name="_Toc256786698"/>
      <w:r w:rsidRPr="00C41B08">
        <w:rPr>
          <w:sz w:val="24"/>
          <w:szCs w:val="24"/>
        </w:rPr>
        <w:t>Soubor zásob a soubor věcí movitých</w:t>
      </w:r>
      <w:r>
        <w:t xml:space="preserve">                              </w:t>
      </w:r>
      <w:bookmarkEnd w:id="56"/>
      <w:bookmarkEnd w:id="57"/>
    </w:p>
    <w:p w:rsidR="00AA4A0F" w:rsidRDefault="00AA4A0F" w:rsidP="00AA4A0F">
      <w:pPr>
        <w:rPr>
          <w:rFonts w:cs="Arial"/>
          <w:szCs w:val="22"/>
        </w:rPr>
      </w:pPr>
      <w:r>
        <w:rPr>
          <w:rFonts w:cs="Arial"/>
          <w:szCs w:val="22"/>
        </w:rPr>
        <w:t>Odchylně od příslušných pojistných podmínek se ujednává, že pojistitel poskytne pojistné plnění:</w:t>
      </w:r>
    </w:p>
    <w:p w:rsidR="00AA4A0F" w:rsidRPr="00563772" w:rsidRDefault="00AA4A0F" w:rsidP="00AA4A0F">
      <w:pPr>
        <w:ind w:left="360" w:hanging="360"/>
      </w:pPr>
      <w:r>
        <w:rPr>
          <w:rFonts w:cs="Arial"/>
          <w:szCs w:val="22"/>
        </w:rPr>
        <w:t>a)  je-li předmět pojištění v době vzniku pojistné události umístěn v uzavřeném prostoru, jehož všechny vstupní dveře jsou uzamčeny, a to do limitu:</w:t>
      </w:r>
    </w:p>
    <w:tbl>
      <w:tblPr>
        <w:tblW w:w="0" w:type="auto"/>
        <w:tblInd w:w="65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2474"/>
      </w:tblGrid>
      <w:tr w:rsidR="00AA4A0F" w:rsidTr="008E72B6">
        <w:tc>
          <w:tcPr>
            <w:tcW w:w="2624" w:type="dxa"/>
            <w:shd w:val="clear" w:color="auto" w:fill="FFFF99"/>
          </w:tcPr>
          <w:p w:rsidR="00AA4A0F" w:rsidRPr="00DE3CA0" w:rsidRDefault="00AA4A0F" w:rsidP="008E72B6">
            <w:pPr>
              <w:rPr>
                <w:i/>
              </w:rPr>
            </w:pPr>
            <w:r>
              <w:rPr>
                <w:rFonts w:cs="Arial"/>
                <w:szCs w:val="22"/>
              </w:rPr>
              <w:t>500 000 Kč</w:t>
            </w:r>
          </w:p>
        </w:tc>
      </w:tr>
    </w:tbl>
    <w:p w:rsidR="00AA4A0F" w:rsidRPr="00563772" w:rsidRDefault="00AA4A0F" w:rsidP="00AA4A0F">
      <w:pPr>
        <w:ind w:left="360" w:hanging="360"/>
      </w:pPr>
      <w:r>
        <w:rPr>
          <w:rFonts w:cs="Arial"/>
          <w:szCs w:val="22"/>
        </w:rPr>
        <w:t xml:space="preserve">b)  je-li předmět pojištění v době vzniku pojistné události umístěn v uzavřeném prostoru, jehož dveře jsou </w:t>
      </w:r>
      <w:proofErr w:type="gramStart"/>
      <w:r>
        <w:rPr>
          <w:rFonts w:cs="Arial"/>
          <w:szCs w:val="22"/>
        </w:rPr>
        <w:t>uzamčeny  zámkem</w:t>
      </w:r>
      <w:proofErr w:type="gramEnd"/>
      <w:r>
        <w:rPr>
          <w:rFonts w:cs="Arial"/>
          <w:szCs w:val="22"/>
        </w:rPr>
        <w:t xml:space="preserve"> s cylindrickou vložkou  min. v BT3 dle ČSN EN 1627 nebo zámkem s cylindrickou vložkou s překrytým profilem nebo se zvýšenou odolností proti vyhmatání nebo elektromechanickým ovládáním dveří vykazující stejnou odolnost proti překonání. Nebo je uzamčený prostor střežen elektrickým zabezpečovacím systémem, jehož svod poplachového signálu je vyveden do místa se stálou obsluhou (např. recepce), nebo je areál monitorován kamerovým systémem se signálem vyvedeným do místa se stálou obsluhou (např. recepce), nebo je areál střežen nepřetržitě min. jedním členem fyzické ostrahy provádějícím obchůzky, vybaveným mobilním telefonem, a to do limitu:</w:t>
      </w:r>
    </w:p>
    <w:tbl>
      <w:tblPr>
        <w:tblW w:w="0" w:type="auto"/>
        <w:tblInd w:w="65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2474"/>
      </w:tblGrid>
      <w:tr w:rsidR="00AA4A0F" w:rsidTr="008E72B6">
        <w:tc>
          <w:tcPr>
            <w:tcW w:w="2624" w:type="dxa"/>
            <w:shd w:val="clear" w:color="auto" w:fill="FFFF99"/>
          </w:tcPr>
          <w:p w:rsidR="00AA4A0F" w:rsidRPr="00E3306C" w:rsidRDefault="00E3306C" w:rsidP="008E72B6">
            <w:pPr>
              <w:rPr>
                <w:rFonts w:cs="Arial"/>
                <w:szCs w:val="22"/>
              </w:rPr>
            </w:pPr>
            <w:r w:rsidRPr="00E3306C">
              <w:rPr>
                <w:rFonts w:cs="Arial"/>
                <w:szCs w:val="22"/>
              </w:rPr>
              <w:t>1 000 000 Kč</w:t>
            </w:r>
          </w:p>
        </w:tc>
      </w:tr>
    </w:tbl>
    <w:p w:rsidR="00AA4A0F" w:rsidRPr="00563772" w:rsidRDefault="00AA4A0F" w:rsidP="00AA4A0F">
      <w:pPr>
        <w:ind w:left="360" w:hanging="360"/>
      </w:pPr>
      <w:r>
        <w:rPr>
          <w:rFonts w:cs="Arial"/>
          <w:szCs w:val="22"/>
        </w:rPr>
        <w:t>c)  je-li předmět pojištění v době vzniku pojistné události umístěn v uzavřeném prostoru, jehož dveře jsou uzamčeny bezpečnostním uzamykacím systémem min v BT3 dle ČSN EN 1627 nebo zámkem s cylindrickou vložkou s překrytým profilem nebo se zvýšenou odolností proti vyhmatání chráněnou kováním nedemontovatelným zvenčí a chránícím vložku proti rozlomení, vytržení a odvrtání nebo elektromechanickým ovládáním dveří vykazující stejnou odolnost proti překonání a dále je pojištěný prostor střežen elektrickým zabezpečovacím systémem s plášťovou a prostorovou ochranou (nebo systémem EZS s prvky certifikovanými ve stupni 2 dle ČSN EN 50131), jehož svod poplachového signálu je vyveden do místa se stálou obsluhou (např. recepce), nebo je areál monitorován kamerovým systémem se signálem vyvedeným do místa se stálou obsluhou (např. recepce), nebo je areál střežen nepřetržitě min. jedním členem fyzické ostrahy provádějícím obchůzky, vybaveným mobilním telefonem, a to do limitu:</w:t>
      </w:r>
    </w:p>
    <w:tbl>
      <w:tblPr>
        <w:tblW w:w="2474" w:type="dxa"/>
        <w:tblInd w:w="65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2474"/>
      </w:tblGrid>
      <w:tr w:rsidR="00E3306C" w:rsidTr="00E3306C">
        <w:tc>
          <w:tcPr>
            <w:tcW w:w="2474" w:type="dxa"/>
            <w:shd w:val="clear" w:color="auto" w:fill="FFFF99"/>
          </w:tcPr>
          <w:p w:rsidR="00E3306C" w:rsidRPr="00E3306C" w:rsidRDefault="00E3306C" w:rsidP="00E3306C">
            <w:pPr>
              <w:rPr>
                <w:rFonts w:cs="Arial"/>
                <w:szCs w:val="22"/>
              </w:rPr>
            </w:pPr>
            <w:bookmarkStart w:id="58" w:name="_GoBack"/>
            <w:bookmarkEnd w:id="58"/>
            <w:r>
              <w:rPr>
                <w:rFonts w:cs="Arial"/>
                <w:szCs w:val="22"/>
              </w:rPr>
              <w:t>2</w:t>
            </w:r>
            <w:r w:rsidRPr="00E3306C">
              <w:rPr>
                <w:rFonts w:cs="Arial"/>
                <w:szCs w:val="22"/>
              </w:rPr>
              <w:t> 000 000 Kč</w:t>
            </w:r>
          </w:p>
        </w:tc>
      </w:tr>
    </w:tbl>
    <w:p w:rsidR="00AA4A0F" w:rsidRPr="00DD04DD" w:rsidRDefault="00AA4A0F" w:rsidP="00AA4A0F">
      <w:pPr>
        <w:pStyle w:val="Nadpis3"/>
        <w:keepNext w:val="0"/>
        <w:widowControl w:val="0"/>
        <w:numPr>
          <w:ilvl w:val="2"/>
          <w:numId w:val="12"/>
        </w:numPr>
        <w:tabs>
          <w:tab w:val="clear" w:pos="2340"/>
          <w:tab w:val="num" w:pos="1080"/>
        </w:tabs>
        <w:spacing w:before="120" w:line="240" w:lineRule="auto"/>
        <w:ind w:left="2342" w:hanging="2342"/>
      </w:pPr>
      <w:bookmarkStart w:id="59" w:name="_Toc256786535"/>
      <w:bookmarkStart w:id="60" w:name="_Toc256786699"/>
      <w:r w:rsidRPr="00C41B08">
        <w:rPr>
          <w:sz w:val="24"/>
          <w:szCs w:val="24"/>
        </w:rPr>
        <w:t>Odcizení z motorového vozidla</w:t>
      </w:r>
      <w:r>
        <w:t xml:space="preserve">                                                 </w:t>
      </w:r>
      <w:bookmarkEnd w:id="59"/>
      <w:bookmarkEnd w:id="60"/>
    </w:p>
    <w:p w:rsidR="00AA4A0F" w:rsidRPr="00563772" w:rsidRDefault="00AA4A0F" w:rsidP="00AA4A0F">
      <w:r>
        <w:rPr>
          <w:rFonts w:cs="Arial"/>
          <w:szCs w:val="22"/>
        </w:rPr>
        <w:t>Odcizení movitých věcí z motorového vozidla místo pojištění Evropa. Odchylně od příslušných pojistných podmínek se ujednává, že pojistitel poskytne pojistné plnění, je-li předmět pojištění v době vzniku pojistné události umístěn v uzavřeném zavazadlovém prostoru motorového vozidla nebo je předmět pojištění pevně spojen s motorovým vozidlem, a to do limitu</w:t>
      </w:r>
    </w:p>
    <w:tbl>
      <w:tblPr>
        <w:tblW w:w="0" w:type="auto"/>
        <w:tblInd w:w="65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2474"/>
      </w:tblGrid>
      <w:tr w:rsidR="00AA4A0F" w:rsidTr="008E72B6">
        <w:tc>
          <w:tcPr>
            <w:tcW w:w="2624" w:type="dxa"/>
            <w:shd w:val="clear" w:color="auto" w:fill="FFFF99"/>
          </w:tcPr>
          <w:p w:rsidR="00AA4A0F" w:rsidRDefault="00AA4A0F" w:rsidP="008E72B6">
            <w:r>
              <w:rPr>
                <w:i/>
              </w:rPr>
              <w:t>50 000 Kč</w:t>
            </w:r>
          </w:p>
        </w:tc>
      </w:tr>
    </w:tbl>
    <w:p w:rsidR="00AA4A0F" w:rsidRPr="00431873" w:rsidRDefault="00AA4A0F" w:rsidP="00AA4A0F">
      <w:pPr>
        <w:pStyle w:val="Nadpis3"/>
        <w:keepNext w:val="0"/>
        <w:widowControl w:val="0"/>
        <w:numPr>
          <w:ilvl w:val="2"/>
          <w:numId w:val="12"/>
        </w:numPr>
        <w:tabs>
          <w:tab w:val="clear" w:pos="2340"/>
          <w:tab w:val="num" w:pos="1080"/>
        </w:tabs>
        <w:spacing w:before="120" w:line="240" w:lineRule="auto"/>
        <w:ind w:left="2342" w:hanging="2342"/>
      </w:pPr>
      <w:bookmarkStart w:id="61" w:name="_Toc256786540"/>
      <w:bookmarkStart w:id="62" w:name="_Toc256786704"/>
      <w:r w:rsidRPr="00C41B08">
        <w:rPr>
          <w:sz w:val="24"/>
          <w:szCs w:val="24"/>
        </w:rPr>
        <w:t>Součásti a příslušenství nemovitosti</w:t>
      </w:r>
      <w:r w:rsidRPr="00154883">
        <w:rPr>
          <w:rFonts w:cs="Arial"/>
          <w:color w:val="3366FF"/>
          <w:sz w:val="24"/>
        </w:rPr>
        <w:t xml:space="preserve"> </w:t>
      </w:r>
      <w:r>
        <w:rPr>
          <w:rFonts w:cs="Arial"/>
          <w:color w:val="3366FF"/>
          <w:sz w:val="24"/>
        </w:rPr>
        <w:tab/>
      </w:r>
      <w:r>
        <w:rPr>
          <w:rFonts w:cs="Arial"/>
          <w:color w:val="3366FF"/>
          <w:sz w:val="24"/>
        </w:rPr>
        <w:tab/>
      </w:r>
      <w:r>
        <w:rPr>
          <w:rFonts w:cs="Arial"/>
          <w:color w:val="3366FF"/>
          <w:sz w:val="24"/>
        </w:rPr>
        <w:tab/>
        <w:t xml:space="preserve">         </w:t>
      </w:r>
      <w:bookmarkEnd w:id="61"/>
      <w:bookmarkEnd w:id="62"/>
    </w:p>
    <w:p w:rsidR="00AA4A0F" w:rsidRDefault="00AA4A0F" w:rsidP="00AA4A0F">
      <w:pPr>
        <w:rPr>
          <w:rFonts w:cs="Arial"/>
          <w:szCs w:val="22"/>
        </w:rPr>
      </w:pPr>
      <w:r>
        <w:rPr>
          <w:rFonts w:cs="Arial"/>
          <w:szCs w:val="22"/>
        </w:rPr>
        <w:lastRenderedPageBreak/>
        <w:t>Odchylně od příslušných pojistných podmínek se ujednává, že pojistitel poskytne pojistné plnění i na součástech a příslušenství nemovitosti, reklamních panelech a jiných  součástech a příslušenství nemovitosti na plášti objektů, pokud budou tyto věci pevně spojeny se stavbou (nemovitostí) nebo připevněním své konstrukce k jiné stavbě, nebo ke konstrukci zapuštěné do zpevněné plochy nebo jsou na betonových  patkách zapuštěných do země, případně je použit jiný vhodný způsob uchycení ztěžující pro svoji velkou hmotnost, rozměrnost nebo nedostupnost předmětu jeho odcizení.</w:t>
      </w:r>
    </w:p>
    <w:p w:rsidR="00AA4A0F" w:rsidRDefault="00AA4A0F" w:rsidP="00AA4A0F">
      <w:pPr>
        <w:pStyle w:val="Nadpis3"/>
        <w:keepNext w:val="0"/>
        <w:widowControl w:val="0"/>
        <w:numPr>
          <w:ilvl w:val="2"/>
          <w:numId w:val="12"/>
        </w:numPr>
        <w:tabs>
          <w:tab w:val="clear" w:pos="2340"/>
          <w:tab w:val="num" w:pos="1080"/>
        </w:tabs>
        <w:spacing w:before="120" w:line="240" w:lineRule="auto"/>
        <w:ind w:left="2342" w:hanging="2342"/>
      </w:pPr>
      <w:bookmarkStart w:id="63" w:name="_Toc256786541"/>
      <w:bookmarkStart w:id="64" w:name="_Toc256786705"/>
      <w:r w:rsidRPr="00C41B08">
        <w:rPr>
          <w:sz w:val="24"/>
          <w:szCs w:val="24"/>
        </w:rPr>
        <w:t>Cennosti</w:t>
      </w:r>
      <w:r>
        <w:rPr>
          <w:rFonts w:cs="Arial"/>
          <w:color w:val="3366FF"/>
          <w:sz w:val="24"/>
        </w:rPr>
        <w:tab/>
      </w:r>
      <w:r>
        <w:rPr>
          <w:rFonts w:cs="Arial"/>
          <w:color w:val="3366FF"/>
          <w:sz w:val="24"/>
        </w:rPr>
        <w:tab/>
      </w:r>
      <w:r>
        <w:rPr>
          <w:rFonts w:cs="Arial"/>
          <w:color w:val="3366FF"/>
          <w:sz w:val="24"/>
        </w:rPr>
        <w:tab/>
      </w:r>
      <w:r>
        <w:rPr>
          <w:rFonts w:cs="Arial"/>
          <w:color w:val="3366FF"/>
          <w:sz w:val="24"/>
        </w:rPr>
        <w:tab/>
      </w:r>
      <w:r>
        <w:rPr>
          <w:rFonts w:cs="Arial"/>
          <w:color w:val="3366FF"/>
          <w:sz w:val="24"/>
        </w:rPr>
        <w:tab/>
        <w:t xml:space="preserve">            </w:t>
      </w:r>
      <w:r>
        <w:rPr>
          <w:rFonts w:cs="Arial"/>
          <w:color w:val="3366FF"/>
          <w:sz w:val="24"/>
        </w:rPr>
        <w:tab/>
      </w:r>
      <w:r>
        <w:rPr>
          <w:rFonts w:cs="Arial"/>
          <w:color w:val="3366FF"/>
          <w:sz w:val="24"/>
        </w:rPr>
        <w:tab/>
        <w:t xml:space="preserve">         </w:t>
      </w:r>
      <w:bookmarkEnd w:id="63"/>
      <w:bookmarkEnd w:id="64"/>
    </w:p>
    <w:p w:rsidR="00AA4A0F" w:rsidRDefault="00AA4A0F" w:rsidP="00AA4A0F">
      <w:pPr>
        <w:rPr>
          <w:rFonts w:cs="Arial"/>
          <w:szCs w:val="22"/>
        </w:rPr>
      </w:pPr>
      <w:r>
        <w:rPr>
          <w:rFonts w:cs="Arial"/>
          <w:szCs w:val="22"/>
        </w:rPr>
        <w:t>Odchylně od příslušných pojistných podmínek se ujednává, že pojistitel poskytne pojistné plnění:</w:t>
      </w:r>
    </w:p>
    <w:p w:rsidR="00AA4A0F" w:rsidRPr="00563772" w:rsidRDefault="00AA4A0F" w:rsidP="00AA4A0F">
      <w:pPr>
        <w:ind w:left="360" w:hanging="360"/>
      </w:pPr>
      <w:r>
        <w:rPr>
          <w:rFonts w:cs="Arial"/>
          <w:szCs w:val="22"/>
        </w:rPr>
        <w:t>a)   jsou-li pojištěné cennosti v době vzniku pojistné události umístěny v uzavřeném prostoru, jehož dveře jsou uzamčeny a současně jsou cennosti uloženy v uzamčené pokladně nebo schránce,</w:t>
      </w:r>
      <w:r w:rsidRPr="001607C9">
        <w:rPr>
          <w:rFonts w:cs="Arial"/>
          <w:szCs w:val="22"/>
        </w:rPr>
        <w:t xml:space="preserve"> </w:t>
      </w:r>
      <w:r>
        <w:rPr>
          <w:rFonts w:cs="Arial"/>
          <w:szCs w:val="22"/>
        </w:rPr>
        <w:t>a to do limitu:</w:t>
      </w:r>
    </w:p>
    <w:tbl>
      <w:tblPr>
        <w:tblW w:w="0" w:type="auto"/>
        <w:tblInd w:w="65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2474"/>
      </w:tblGrid>
      <w:tr w:rsidR="00AA4A0F" w:rsidTr="008E72B6">
        <w:tc>
          <w:tcPr>
            <w:tcW w:w="2624" w:type="dxa"/>
            <w:shd w:val="clear" w:color="auto" w:fill="FFFF99"/>
          </w:tcPr>
          <w:p w:rsidR="00AA4A0F" w:rsidRDefault="00AA4A0F" w:rsidP="008E72B6">
            <w:r>
              <w:rPr>
                <w:i/>
              </w:rPr>
              <w:t>50 000 Kč</w:t>
            </w:r>
          </w:p>
        </w:tc>
      </w:tr>
    </w:tbl>
    <w:p w:rsidR="00AA4A0F" w:rsidRPr="007450AF" w:rsidRDefault="00AA4A0F" w:rsidP="00AA4A0F">
      <w:pPr>
        <w:tabs>
          <w:tab w:val="center" w:pos="4536"/>
          <w:tab w:val="right" w:pos="9072"/>
        </w:tabs>
      </w:pPr>
      <w:bookmarkStart w:id="65" w:name="_Toc256786543"/>
      <w:bookmarkStart w:id="66" w:name="_Toc256786707"/>
      <w:r w:rsidRPr="007450AF">
        <w:rPr>
          <w:rFonts w:cs="Arial"/>
          <w:szCs w:val="22"/>
        </w:rPr>
        <w:t>b) jsou-li pojištěné cennosti v době vzniku pojistné události umístěny v uzavřeném prostoru, jehož dveře jsou uzamčeny bezpečnostním uzamykacím systémem min v BT3 dle ČSN EN 1627 nebo zámkem s cylindrickou vložkou s překrytým profilem nebo se zvýšenou odolností proti vyhmatání chráněnou kováním nedemontovatelným zvenčí a chránícím vložku proti rozlomení, vytržení a odvrtání nebo elektromechanickým ovládáním dveří vykazující stejnou odolnost proti překonání a nebo je pojištěný prostor střežen elektrickým zabezpečovacím systémem s plášťovou a prostorovou ochranou, jehož svod poplachového signálu je vyveden do místa se stálou obsluhou (např. recepce), nebo je areál střežen nepřetržitě min. jedním členem fyzické ostrahy provádějícím obchůzky, vybaveným mobilním telefonem., a současně jsou cennosti uloženy v uzamčené pokladně nebo trezoru nezjištěné konstrukce, a to do limitu:</w:t>
      </w:r>
    </w:p>
    <w:p w:rsidR="00AA4A0F" w:rsidRPr="007450AF" w:rsidRDefault="00AA4A0F" w:rsidP="00AA4A0F">
      <w:pPr>
        <w:rPr>
          <w:i/>
        </w:rPr>
      </w:pPr>
      <w:r w:rsidRPr="007450AF">
        <w:rPr>
          <w:i/>
        </w:rPr>
        <w:t>……………doplní pojistitel…………</w:t>
      </w:r>
    </w:p>
    <w:p w:rsidR="00AA4A0F" w:rsidRDefault="00AA4A0F" w:rsidP="00AA4A0F">
      <w:pPr>
        <w:pStyle w:val="Nadpis3"/>
        <w:keepNext w:val="0"/>
        <w:widowControl w:val="0"/>
        <w:numPr>
          <w:ilvl w:val="0"/>
          <w:numId w:val="0"/>
        </w:numPr>
        <w:spacing w:before="120" w:line="240" w:lineRule="auto"/>
        <w:ind w:left="720" w:hanging="720"/>
        <w:rPr>
          <w:sz w:val="24"/>
          <w:szCs w:val="24"/>
        </w:rPr>
      </w:pPr>
    </w:p>
    <w:bookmarkEnd w:id="65"/>
    <w:bookmarkEnd w:id="66"/>
    <w:p w:rsidR="00AA4A0F" w:rsidRDefault="00AA4A0F" w:rsidP="00AA4A0F"/>
    <w:p w:rsidR="00AA4A0F" w:rsidRDefault="00AA4A0F" w:rsidP="00AA4A0F">
      <w:pPr>
        <w:rPr>
          <w:b/>
          <w:sz w:val="22"/>
          <w:szCs w:val="22"/>
        </w:rPr>
      </w:pPr>
      <w:r>
        <w:rPr>
          <w:b/>
        </w:rPr>
        <w:br w:type="page"/>
      </w:r>
    </w:p>
    <w:tbl>
      <w:tblPr>
        <w:tblW w:w="0" w:type="auto"/>
        <w:tblBorders>
          <w:top w:val="single" w:sz="4" w:space="0" w:color="3366FF"/>
          <w:left w:val="single" w:sz="4" w:space="0" w:color="3366FF"/>
          <w:bottom w:val="single" w:sz="4" w:space="0" w:color="3366FF"/>
          <w:right w:val="single" w:sz="4" w:space="0" w:color="3366FF"/>
          <w:insideH w:val="single" w:sz="4" w:space="0" w:color="3366FF"/>
          <w:insideV w:val="single" w:sz="4" w:space="0" w:color="3366FF"/>
        </w:tblBorders>
        <w:shd w:val="clear" w:color="auto" w:fill="3366FF"/>
        <w:tblLook w:val="01E0" w:firstRow="1" w:lastRow="1" w:firstColumn="1" w:lastColumn="1" w:noHBand="0" w:noVBand="0"/>
      </w:tblPr>
      <w:tblGrid>
        <w:gridCol w:w="9062"/>
      </w:tblGrid>
      <w:tr w:rsidR="00AA4A0F" w:rsidRPr="009538A3" w:rsidTr="008E72B6">
        <w:trPr>
          <w:trHeight w:val="480"/>
        </w:trPr>
        <w:tc>
          <w:tcPr>
            <w:tcW w:w="9843" w:type="dxa"/>
            <w:shd w:val="clear" w:color="auto" w:fill="3366FF"/>
          </w:tcPr>
          <w:p w:rsidR="00AA4A0F" w:rsidRPr="009538A3" w:rsidRDefault="00AA4A0F" w:rsidP="00AA4A0F">
            <w:pPr>
              <w:pStyle w:val="Nadpis2"/>
              <w:numPr>
                <w:ilvl w:val="1"/>
                <w:numId w:val="10"/>
              </w:numPr>
              <w:spacing w:before="120" w:after="120" w:line="240" w:lineRule="auto"/>
              <w:ind w:left="578" w:hanging="578"/>
              <w:rPr>
                <w:color w:val="FFFFFF"/>
                <w:sz w:val="24"/>
                <w:szCs w:val="24"/>
              </w:rPr>
            </w:pPr>
            <w:bookmarkStart w:id="67" w:name="_Toc256786280"/>
            <w:r w:rsidRPr="009538A3">
              <w:rPr>
                <w:color w:val="FFFFFF"/>
                <w:sz w:val="24"/>
                <w:szCs w:val="24"/>
              </w:rPr>
              <w:lastRenderedPageBreak/>
              <w:t>Pojištění skel</w:t>
            </w:r>
            <w:bookmarkEnd w:id="67"/>
          </w:p>
        </w:tc>
      </w:tr>
    </w:tbl>
    <w:p w:rsidR="00AA4A0F" w:rsidRPr="009E0928" w:rsidRDefault="00AA4A0F" w:rsidP="00AA4A0F">
      <w:pPr>
        <w:pStyle w:val="Nadpis3"/>
        <w:numPr>
          <w:ilvl w:val="2"/>
          <w:numId w:val="12"/>
        </w:numPr>
        <w:tabs>
          <w:tab w:val="clear" w:pos="2340"/>
          <w:tab w:val="num" w:pos="1080"/>
        </w:tabs>
        <w:spacing w:line="240" w:lineRule="auto"/>
        <w:ind w:hanging="2340"/>
        <w:rPr>
          <w:sz w:val="24"/>
          <w:szCs w:val="24"/>
        </w:rPr>
      </w:pPr>
      <w:bookmarkStart w:id="68" w:name="_Toc256786547"/>
      <w:bookmarkStart w:id="69" w:name="_Toc256786711"/>
      <w:r w:rsidRPr="009E0928">
        <w:rPr>
          <w:sz w:val="24"/>
          <w:szCs w:val="24"/>
        </w:rPr>
        <w:t>Součásti skla</w:t>
      </w:r>
      <w:bookmarkEnd w:id="68"/>
      <w:bookmarkEnd w:id="69"/>
    </w:p>
    <w:p w:rsidR="00AA4A0F" w:rsidRDefault="00AA4A0F" w:rsidP="00AA4A0F">
      <w:pPr>
        <w:rPr>
          <w:rFonts w:cs="Arial"/>
          <w:szCs w:val="22"/>
        </w:rPr>
      </w:pPr>
      <w:r>
        <w:rPr>
          <w:rFonts w:cs="Arial"/>
          <w:szCs w:val="22"/>
        </w:rPr>
        <w:t>Pojištění se vztahuje i na nalepené neodnímatelné snímače zabezpečovacích zařízení, nalepené fólie, nápisy, malby nebo jiné výzdoby, jsou-li součástí pojištěného skla.</w:t>
      </w:r>
    </w:p>
    <w:p w:rsidR="00AA4A0F" w:rsidRPr="00563963" w:rsidRDefault="00AA4A0F" w:rsidP="00AA4A0F">
      <w:pPr>
        <w:pStyle w:val="Nadpis3"/>
        <w:numPr>
          <w:ilvl w:val="2"/>
          <w:numId w:val="12"/>
        </w:numPr>
        <w:tabs>
          <w:tab w:val="clear" w:pos="2340"/>
          <w:tab w:val="num" w:pos="1080"/>
        </w:tabs>
        <w:spacing w:line="240" w:lineRule="auto"/>
        <w:ind w:hanging="2340"/>
      </w:pPr>
      <w:bookmarkStart w:id="70" w:name="_Toc256786548"/>
      <w:bookmarkStart w:id="71" w:name="_Toc256786712"/>
      <w:r w:rsidRPr="009E0928">
        <w:rPr>
          <w:sz w:val="24"/>
          <w:szCs w:val="24"/>
        </w:rPr>
        <w:t>Oprava</w:t>
      </w:r>
      <w:bookmarkEnd w:id="70"/>
      <w:bookmarkEnd w:id="71"/>
    </w:p>
    <w:p w:rsidR="00AA4A0F" w:rsidRDefault="00AA4A0F" w:rsidP="00AA4A0F">
      <w:pPr>
        <w:rPr>
          <w:rFonts w:cs="Arial"/>
          <w:szCs w:val="22"/>
        </w:rPr>
      </w:pPr>
      <w:r>
        <w:rPr>
          <w:rFonts w:cs="Arial"/>
          <w:szCs w:val="22"/>
        </w:rPr>
        <w:t xml:space="preserve">Pojistitel poskytne nad rámec stanovené pojistné částky pojistné plnění i za náklady na nouzové zabezpečení výplně po rozbitém </w:t>
      </w:r>
      <w:proofErr w:type="gramStart"/>
      <w:r>
        <w:rPr>
          <w:rFonts w:cs="Arial"/>
          <w:szCs w:val="22"/>
        </w:rPr>
        <w:t>skle,  a</w:t>
      </w:r>
      <w:proofErr w:type="gramEnd"/>
      <w:r>
        <w:rPr>
          <w:rFonts w:cs="Arial"/>
          <w:szCs w:val="22"/>
        </w:rPr>
        <w:t xml:space="preserve"> to včetně montáže a demontáže stavebních součástí nutné k provedení nouzového osazení okenních tabulí či opravy zasklení (např. ochranných mříží, markýz, uzávěrů oken apod.), maximálně však do výše    30 % pojistné částky.</w:t>
      </w:r>
    </w:p>
    <w:p w:rsidR="00AA4A0F" w:rsidRPr="009E0928" w:rsidRDefault="00AA4A0F" w:rsidP="00AA4A0F">
      <w:pPr>
        <w:pStyle w:val="Nadpis3"/>
        <w:numPr>
          <w:ilvl w:val="2"/>
          <w:numId w:val="12"/>
        </w:numPr>
        <w:tabs>
          <w:tab w:val="clear" w:pos="2340"/>
          <w:tab w:val="num" w:pos="1080"/>
        </w:tabs>
        <w:spacing w:line="240" w:lineRule="auto"/>
        <w:ind w:hanging="2340"/>
        <w:rPr>
          <w:sz w:val="24"/>
          <w:szCs w:val="24"/>
        </w:rPr>
      </w:pPr>
      <w:bookmarkStart w:id="72" w:name="_Toc256786549"/>
      <w:bookmarkStart w:id="73" w:name="_Toc256786713"/>
      <w:r w:rsidRPr="009E0928">
        <w:rPr>
          <w:sz w:val="24"/>
          <w:szCs w:val="24"/>
        </w:rPr>
        <w:t>Rozšíření krytí – vnější součásti</w:t>
      </w:r>
      <w:bookmarkEnd w:id="72"/>
      <w:bookmarkEnd w:id="73"/>
    </w:p>
    <w:p w:rsidR="00AA4A0F" w:rsidRDefault="00AA4A0F" w:rsidP="00AA4A0F">
      <w:pPr>
        <w:rPr>
          <w:rFonts w:cs="Arial"/>
          <w:szCs w:val="22"/>
        </w:rPr>
      </w:pPr>
      <w:r>
        <w:rPr>
          <w:rFonts w:cs="Arial"/>
          <w:szCs w:val="22"/>
        </w:rPr>
        <w:t>Pojištění se vztahuje i na vnější osvětlení, světelné reklamy a světelné nápisy včetně jejich elektrické instalace a nosné konstrukce.</w:t>
      </w:r>
    </w:p>
    <w:p w:rsidR="00AA4A0F" w:rsidRDefault="00AA4A0F" w:rsidP="00AA4A0F">
      <w:pPr>
        <w:rPr>
          <w:b/>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2"/>
      </w:tblGrid>
      <w:tr w:rsidR="00AA4A0F" w:rsidRPr="009538A3" w:rsidTr="008E72B6">
        <w:trPr>
          <w:trHeight w:val="555"/>
        </w:trPr>
        <w:tc>
          <w:tcPr>
            <w:tcW w:w="9843" w:type="dxa"/>
            <w:tcBorders>
              <w:top w:val="single" w:sz="4" w:space="0" w:color="3366FF"/>
              <w:left w:val="single" w:sz="4" w:space="0" w:color="3366FF"/>
              <w:bottom w:val="single" w:sz="4" w:space="0" w:color="3366FF"/>
              <w:right w:val="single" w:sz="4" w:space="0" w:color="3366FF"/>
            </w:tcBorders>
            <w:shd w:val="clear" w:color="auto" w:fill="3366FF"/>
          </w:tcPr>
          <w:p w:rsidR="00AA4A0F" w:rsidRPr="009538A3" w:rsidRDefault="00AA4A0F" w:rsidP="00AA4A0F">
            <w:pPr>
              <w:pStyle w:val="Nadpis2"/>
              <w:numPr>
                <w:ilvl w:val="1"/>
                <w:numId w:val="10"/>
              </w:numPr>
              <w:spacing w:before="120" w:after="120" w:line="240" w:lineRule="auto"/>
              <w:ind w:left="578" w:hanging="578"/>
              <w:rPr>
                <w:color w:val="FFFFFF"/>
                <w:sz w:val="24"/>
                <w:szCs w:val="24"/>
              </w:rPr>
            </w:pPr>
            <w:bookmarkStart w:id="74" w:name="_Toc256786281"/>
            <w:r w:rsidRPr="009538A3">
              <w:rPr>
                <w:color w:val="FFFFFF"/>
                <w:sz w:val="24"/>
                <w:szCs w:val="24"/>
              </w:rPr>
              <w:t xml:space="preserve">Přerušení </w:t>
            </w:r>
            <w:proofErr w:type="gramStart"/>
            <w:r w:rsidRPr="009538A3">
              <w:rPr>
                <w:color w:val="FFFFFF"/>
                <w:sz w:val="24"/>
                <w:szCs w:val="24"/>
              </w:rPr>
              <w:t>provozu</w:t>
            </w:r>
            <w:bookmarkEnd w:id="74"/>
            <w:r>
              <w:rPr>
                <w:color w:val="FFFFFF"/>
                <w:sz w:val="24"/>
                <w:szCs w:val="24"/>
              </w:rPr>
              <w:t xml:space="preserve"> - FVE</w:t>
            </w:r>
            <w:proofErr w:type="gramEnd"/>
          </w:p>
        </w:tc>
      </w:tr>
    </w:tbl>
    <w:p w:rsidR="00AA4A0F" w:rsidRDefault="00AA4A0F" w:rsidP="00AA4A0F">
      <w:pPr>
        <w:pStyle w:val="Nadpis3"/>
        <w:keepNext w:val="0"/>
        <w:widowControl w:val="0"/>
        <w:numPr>
          <w:ilvl w:val="0"/>
          <w:numId w:val="13"/>
        </w:numPr>
        <w:tabs>
          <w:tab w:val="clear" w:pos="2340"/>
          <w:tab w:val="num" w:pos="1080"/>
        </w:tabs>
        <w:spacing w:line="240" w:lineRule="auto"/>
        <w:ind w:left="1080" w:hanging="1080"/>
        <w:jc w:val="left"/>
        <w:rPr>
          <w:sz w:val="24"/>
          <w:szCs w:val="24"/>
        </w:rPr>
      </w:pPr>
      <w:bookmarkStart w:id="75" w:name="_Toc256786552"/>
      <w:bookmarkStart w:id="76" w:name="_Toc256786716"/>
      <w:r w:rsidRPr="00E75B00">
        <w:rPr>
          <w:sz w:val="24"/>
          <w:szCs w:val="24"/>
        </w:rPr>
        <w:t xml:space="preserve">Rozsah pojištění </w:t>
      </w:r>
      <w:r>
        <w:rPr>
          <w:sz w:val="24"/>
          <w:szCs w:val="24"/>
        </w:rPr>
        <w:br/>
      </w:r>
      <w:r w:rsidRPr="00E75B00">
        <w:rPr>
          <w:sz w:val="24"/>
          <w:szCs w:val="24"/>
        </w:rPr>
        <w:t>(definice Finanční ztráty v důsledku přerušení/omezení provozu)</w:t>
      </w:r>
      <w:bookmarkEnd w:id="75"/>
      <w:bookmarkEnd w:id="76"/>
    </w:p>
    <w:p w:rsidR="00AA4A0F" w:rsidRPr="00E75B00" w:rsidRDefault="00AA4A0F" w:rsidP="00AA4A0F">
      <w:r>
        <w:rPr>
          <w:rFonts w:cs="Arial"/>
          <w:szCs w:val="22"/>
        </w:rPr>
        <w:t xml:space="preserve">V případě škodní události nahradí pojistitel pojištěnému ušlý Hrubý zisk, </w:t>
      </w:r>
      <w:proofErr w:type="spellStart"/>
      <w:proofErr w:type="gramStart"/>
      <w:r>
        <w:rPr>
          <w:rFonts w:cs="Arial"/>
          <w:szCs w:val="22"/>
        </w:rPr>
        <w:t>tj.ztrátu</w:t>
      </w:r>
      <w:proofErr w:type="spellEnd"/>
      <w:proofErr w:type="gramEnd"/>
      <w:r>
        <w:rPr>
          <w:rFonts w:cs="Arial"/>
          <w:szCs w:val="22"/>
        </w:rPr>
        <w:t xml:space="preserve"> na ušlém zisku (</w:t>
      </w:r>
      <w:proofErr w:type="spellStart"/>
      <w:r>
        <w:rPr>
          <w:rFonts w:cs="Arial"/>
          <w:szCs w:val="22"/>
        </w:rPr>
        <w:t>tj.zisk</w:t>
      </w:r>
      <w:proofErr w:type="spellEnd"/>
      <w:r>
        <w:rPr>
          <w:rFonts w:cs="Arial"/>
          <w:szCs w:val="22"/>
        </w:rPr>
        <w:t>, který by pojištěný realizoval, kdyby ke přerušení/omezení provozu nedošlo) a stálé náklady (</w:t>
      </w:r>
      <w:proofErr w:type="spellStart"/>
      <w:r>
        <w:rPr>
          <w:rFonts w:cs="Arial"/>
          <w:szCs w:val="22"/>
        </w:rPr>
        <w:t>tj.náklady</w:t>
      </w:r>
      <w:proofErr w:type="spellEnd"/>
      <w:r>
        <w:rPr>
          <w:rFonts w:cs="Arial"/>
          <w:szCs w:val="22"/>
        </w:rPr>
        <w:t>, které musí pojištěný vynakládat i během trvání přerušení/omezení provozu).</w:t>
      </w:r>
    </w:p>
    <w:p w:rsidR="00AA4A0F" w:rsidRDefault="00AA4A0F" w:rsidP="00AA4A0F">
      <w:pPr>
        <w:pStyle w:val="Nadpis3"/>
        <w:keepNext w:val="0"/>
        <w:widowControl w:val="0"/>
        <w:numPr>
          <w:ilvl w:val="0"/>
          <w:numId w:val="13"/>
        </w:numPr>
        <w:tabs>
          <w:tab w:val="clear" w:pos="2340"/>
          <w:tab w:val="num" w:pos="1080"/>
        </w:tabs>
        <w:spacing w:line="240" w:lineRule="auto"/>
        <w:ind w:left="1080" w:hanging="1080"/>
        <w:rPr>
          <w:sz w:val="24"/>
          <w:szCs w:val="24"/>
        </w:rPr>
      </w:pPr>
      <w:bookmarkStart w:id="77" w:name="_Toc256786554"/>
      <w:bookmarkStart w:id="78" w:name="_Toc256786718"/>
      <w:r w:rsidRPr="00E75B00">
        <w:rPr>
          <w:sz w:val="24"/>
          <w:szCs w:val="24"/>
        </w:rPr>
        <w:t>Stanovení pojistné částky</w:t>
      </w:r>
      <w:bookmarkEnd w:id="77"/>
      <w:bookmarkEnd w:id="78"/>
    </w:p>
    <w:p w:rsidR="00AA4A0F" w:rsidRPr="00E75B00" w:rsidRDefault="00AA4A0F" w:rsidP="00AA4A0F">
      <w:r>
        <w:rPr>
          <w:rFonts w:cs="Arial"/>
          <w:szCs w:val="22"/>
        </w:rPr>
        <w:t>Pojistnou částku stanoví pojištěný na základě Hrubého zisku dosaženého v posledním ukončeném účetním období, které bezprostředně předcházelo uzavření smlouvy s řádným zohledněním veškerých očekávaných tržních trendů a specifických okolností podnikání pojištěného a poměru délky maximální doby ručení a délky tohoto účetního období.</w:t>
      </w:r>
    </w:p>
    <w:p w:rsidR="00AA4A0F" w:rsidRDefault="00AA4A0F" w:rsidP="00AA4A0F">
      <w:pPr>
        <w:pStyle w:val="Nadpis3"/>
        <w:keepNext w:val="0"/>
        <w:widowControl w:val="0"/>
        <w:numPr>
          <w:ilvl w:val="0"/>
          <w:numId w:val="13"/>
        </w:numPr>
        <w:tabs>
          <w:tab w:val="clear" w:pos="2340"/>
          <w:tab w:val="num" w:pos="1080"/>
        </w:tabs>
        <w:spacing w:line="240" w:lineRule="auto"/>
        <w:ind w:left="1080" w:hanging="1080"/>
        <w:rPr>
          <w:sz w:val="24"/>
          <w:szCs w:val="24"/>
        </w:rPr>
      </w:pPr>
      <w:bookmarkStart w:id="79" w:name="_Toc256786555"/>
      <w:bookmarkStart w:id="80" w:name="_Toc256786719"/>
      <w:r w:rsidRPr="00E75B00">
        <w:rPr>
          <w:sz w:val="24"/>
          <w:szCs w:val="24"/>
        </w:rPr>
        <w:t>Konec doby ručení</w:t>
      </w:r>
      <w:bookmarkEnd w:id="79"/>
      <w:bookmarkEnd w:id="80"/>
    </w:p>
    <w:p w:rsidR="00AA4A0F" w:rsidRPr="00E75B00" w:rsidRDefault="00AA4A0F" w:rsidP="00AA4A0F">
      <w:r>
        <w:rPr>
          <w:rFonts w:cs="Arial"/>
          <w:szCs w:val="22"/>
        </w:rPr>
        <w:t>Doba ručení trvá po celou dobu, během níž je podnikatelská činnost pojištěného nepříznivě ovlivněna pojistnou událostí, tj. končí v okamžiku, od něhož již nevzniká finanční ztráta přerušením/omezením provozu, nejpozději však uplynutím maximální stanovené doby ručení.</w:t>
      </w:r>
    </w:p>
    <w:p w:rsidR="00AA4A0F" w:rsidRDefault="00AA4A0F" w:rsidP="00AA4A0F">
      <w:pPr>
        <w:pStyle w:val="Nadpis3"/>
        <w:keepNext w:val="0"/>
        <w:widowControl w:val="0"/>
        <w:numPr>
          <w:ilvl w:val="0"/>
          <w:numId w:val="13"/>
        </w:numPr>
        <w:tabs>
          <w:tab w:val="clear" w:pos="2340"/>
          <w:tab w:val="num" w:pos="1080"/>
        </w:tabs>
        <w:spacing w:line="240" w:lineRule="auto"/>
        <w:ind w:left="1080" w:hanging="1080"/>
        <w:rPr>
          <w:sz w:val="24"/>
          <w:szCs w:val="24"/>
        </w:rPr>
      </w:pPr>
      <w:bookmarkStart w:id="81" w:name="_Toc256786556"/>
      <w:bookmarkStart w:id="82" w:name="_Toc256786720"/>
      <w:r w:rsidRPr="00E75B00">
        <w:rPr>
          <w:sz w:val="24"/>
          <w:szCs w:val="24"/>
        </w:rPr>
        <w:t>Pojistné plnění</w:t>
      </w:r>
      <w:bookmarkEnd w:id="81"/>
      <w:bookmarkEnd w:id="82"/>
    </w:p>
    <w:p w:rsidR="00AA4A0F" w:rsidRDefault="00AA4A0F" w:rsidP="00AA4A0F">
      <w:pPr>
        <w:rPr>
          <w:rFonts w:cs="Arial"/>
          <w:szCs w:val="22"/>
        </w:rPr>
      </w:pPr>
      <w:r>
        <w:rPr>
          <w:rFonts w:cs="Arial"/>
          <w:szCs w:val="22"/>
        </w:rPr>
        <w:t>V případě pojistné události poskytne pojistitel pojištěnému plnění ve výši částky, která se vypočte jako součin míry hrubého zisku a rozdílu mezi obratem dosaženým v době ručení a standardním obratem.</w:t>
      </w:r>
    </w:p>
    <w:p w:rsidR="00AA4A0F" w:rsidRDefault="00AA4A0F" w:rsidP="00AA4A0F">
      <w:pPr>
        <w:rPr>
          <w:rFonts w:cs="Arial"/>
          <w:szCs w:val="22"/>
        </w:rPr>
      </w:pPr>
    </w:p>
    <w:p w:rsidR="00AA4A0F" w:rsidRPr="00510BD7" w:rsidRDefault="00AA4A0F" w:rsidP="00AA4A0F">
      <w:pPr>
        <w:rPr>
          <w:sz w:val="10"/>
          <w:szCs w:val="10"/>
          <w:lang w:val="la-Latn"/>
        </w:rPr>
      </w:pPr>
      <w:bookmarkStart w:id="83" w:name="_Toc249777248"/>
    </w:p>
    <w:tbl>
      <w:tblPr>
        <w:tblW w:w="0" w:type="auto"/>
        <w:shd w:val="clear" w:color="auto" w:fill="283164"/>
        <w:tblLook w:val="01E0" w:firstRow="1" w:lastRow="1" w:firstColumn="1" w:lastColumn="1" w:noHBand="0" w:noVBand="0"/>
      </w:tblPr>
      <w:tblGrid>
        <w:gridCol w:w="9072"/>
      </w:tblGrid>
      <w:tr w:rsidR="00AA4A0F" w:rsidRPr="009538A3" w:rsidTr="008E72B6">
        <w:trPr>
          <w:trHeight w:val="856"/>
        </w:trPr>
        <w:tc>
          <w:tcPr>
            <w:tcW w:w="9813" w:type="dxa"/>
            <w:shd w:val="clear" w:color="auto" w:fill="283164"/>
          </w:tcPr>
          <w:p w:rsidR="00AA4A0F" w:rsidRPr="00551FBC" w:rsidRDefault="00AA4A0F" w:rsidP="00AA4A0F">
            <w:pPr>
              <w:pStyle w:val="Nadpis1"/>
              <w:numPr>
                <w:ilvl w:val="0"/>
                <w:numId w:val="10"/>
              </w:numPr>
              <w:tabs>
                <w:tab w:val="clear" w:pos="431"/>
              </w:tabs>
              <w:spacing w:before="240" w:after="240" w:line="240" w:lineRule="auto"/>
              <w:ind w:left="0" w:firstLine="0"/>
              <w:rPr>
                <w:color w:val="FFFFFF"/>
                <w:sz w:val="28"/>
                <w:szCs w:val="28"/>
                <w:lang w:val="la-Latn"/>
              </w:rPr>
            </w:pPr>
            <w:bookmarkStart w:id="84" w:name="_Toc256786282"/>
            <w:r w:rsidRPr="00551FBC">
              <w:rPr>
                <w:color w:val="FFFFFF"/>
                <w:sz w:val="28"/>
                <w:szCs w:val="28"/>
              </w:rPr>
              <w:t>Pojištění strojů</w:t>
            </w:r>
            <w:bookmarkEnd w:id="84"/>
            <w:r>
              <w:rPr>
                <w:color w:val="FFFFFF"/>
                <w:sz w:val="28"/>
                <w:szCs w:val="28"/>
              </w:rPr>
              <w:t xml:space="preserve"> - FVE</w:t>
            </w:r>
          </w:p>
        </w:tc>
      </w:tr>
    </w:tbl>
    <w:p w:rsidR="00AA4A0F" w:rsidRDefault="00AA4A0F" w:rsidP="00AA4A0F">
      <w:pPr>
        <w:pStyle w:val="Nadpis3"/>
        <w:numPr>
          <w:ilvl w:val="0"/>
          <w:numId w:val="14"/>
        </w:numPr>
        <w:tabs>
          <w:tab w:val="clear" w:pos="2340"/>
          <w:tab w:val="num" w:pos="1080"/>
        </w:tabs>
        <w:spacing w:line="240" w:lineRule="auto"/>
        <w:ind w:left="1080" w:hanging="1080"/>
        <w:rPr>
          <w:sz w:val="24"/>
          <w:szCs w:val="24"/>
        </w:rPr>
      </w:pPr>
      <w:bookmarkStart w:id="85" w:name="_Toc256786573"/>
      <w:bookmarkStart w:id="86" w:name="_Toc256786737"/>
      <w:bookmarkEnd w:id="83"/>
      <w:r w:rsidRPr="00E75B00">
        <w:rPr>
          <w:sz w:val="24"/>
          <w:szCs w:val="24"/>
        </w:rPr>
        <w:lastRenderedPageBreak/>
        <w:t>Elektronické prvky a součástky</w:t>
      </w:r>
      <w:bookmarkEnd w:id="85"/>
      <w:bookmarkEnd w:id="86"/>
    </w:p>
    <w:p w:rsidR="00AA4A0F" w:rsidRPr="00FA3F6B" w:rsidRDefault="00AA4A0F" w:rsidP="00AA4A0F">
      <w:r>
        <w:rPr>
          <w:rFonts w:cs="Arial"/>
          <w:szCs w:val="22"/>
        </w:rPr>
        <w:t>Pojištění se vztahuje i na jakékoli poškození či zničení elektronických prvků a součástek strojních zařízení, nosičů dat a záznamů na nich.</w:t>
      </w:r>
    </w:p>
    <w:p w:rsidR="00AA4A0F" w:rsidRDefault="00AA4A0F" w:rsidP="00AA4A0F"/>
    <w:p w:rsidR="00AA4A0F" w:rsidRPr="00C63A74" w:rsidRDefault="00AA4A0F" w:rsidP="00AA4A0F">
      <w:pPr>
        <w:rPr>
          <w:sz w:val="10"/>
          <w:szCs w:val="10"/>
        </w:rPr>
      </w:pPr>
      <w:bookmarkStart w:id="87" w:name="_Toc249777249"/>
    </w:p>
    <w:tbl>
      <w:tblPr>
        <w:tblW w:w="0" w:type="auto"/>
        <w:shd w:val="clear" w:color="auto" w:fill="283164"/>
        <w:tblLook w:val="01E0" w:firstRow="1" w:lastRow="1" w:firstColumn="1" w:lastColumn="1" w:noHBand="0" w:noVBand="0"/>
      </w:tblPr>
      <w:tblGrid>
        <w:gridCol w:w="9072"/>
      </w:tblGrid>
      <w:tr w:rsidR="00AA4A0F" w:rsidRPr="009538A3" w:rsidTr="008E72B6">
        <w:trPr>
          <w:trHeight w:val="825"/>
        </w:trPr>
        <w:tc>
          <w:tcPr>
            <w:tcW w:w="9843" w:type="dxa"/>
            <w:shd w:val="clear" w:color="auto" w:fill="283164"/>
          </w:tcPr>
          <w:p w:rsidR="00AA4A0F" w:rsidRPr="009538A3" w:rsidRDefault="00AA4A0F" w:rsidP="00AA4A0F">
            <w:pPr>
              <w:pStyle w:val="Nadpis1"/>
              <w:numPr>
                <w:ilvl w:val="0"/>
                <w:numId w:val="10"/>
              </w:numPr>
              <w:tabs>
                <w:tab w:val="clear" w:pos="431"/>
              </w:tabs>
              <w:spacing w:before="240" w:after="240" w:line="240" w:lineRule="auto"/>
              <w:ind w:left="431" w:hanging="431"/>
              <w:rPr>
                <w:color w:val="FFFFFF"/>
                <w:sz w:val="28"/>
                <w:szCs w:val="28"/>
              </w:rPr>
            </w:pPr>
            <w:bookmarkStart w:id="88" w:name="_Toc256786283"/>
            <w:r w:rsidRPr="009538A3">
              <w:rPr>
                <w:color w:val="FFFFFF"/>
                <w:sz w:val="28"/>
                <w:szCs w:val="28"/>
              </w:rPr>
              <w:t>Pojištění elektroniky</w:t>
            </w:r>
            <w:bookmarkEnd w:id="88"/>
          </w:p>
        </w:tc>
      </w:tr>
    </w:tbl>
    <w:p w:rsidR="00AA4A0F" w:rsidRDefault="00AA4A0F" w:rsidP="00AA4A0F">
      <w:pPr>
        <w:pStyle w:val="Nadpis3"/>
        <w:numPr>
          <w:ilvl w:val="0"/>
          <w:numId w:val="15"/>
        </w:numPr>
        <w:tabs>
          <w:tab w:val="clear" w:pos="2340"/>
          <w:tab w:val="num" w:pos="1080"/>
        </w:tabs>
        <w:spacing w:line="240" w:lineRule="auto"/>
        <w:ind w:left="1080" w:hanging="1080"/>
        <w:rPr>
          <w:sz w:val="24"/>
          <w:szCs w:val="24"/>
        </w:rPr>
      </w:pPr>
      <w:bookmarkStart w:id="89" w:name="_Toc256786579"/>
      <w:bookmarkStart w:id="90" w:name="_Toc256786743"/>
      <w:bookmarkEnd w:id="87"/>
      <w:r w:rsidRPr="00E75B00">
        <w:rPr>
          <w:sz w:val="24"/>
          <w:szCs w:val="24"/>
        </w:rPr>
        <w:t xml:space="preserve">Pojištění elektroniky – </w:t>
      </w:r>
      <w:r>
        <w:rPr>
          <w:sz w:val="24"/>
          <w:szCs w:val="24"/>
        </w:rPr>
        <w:t>stáří</w:t>
      </w:r>
      <w:r>
        <w:rPr>
          <w:sz w:val="24"/>
          <w:szCs w:val="24"/>
        </w:rPr>
        <w:tab/>
      </w:r>
      <w:r>
        <w:rPr>
          <w:sz w:val="24"/>
          <w:szCs w:val="24"/>
        </w:rPr>
        <w:tab/>
        <w:t xml:space="preserve">   </w:t>
      </w:r>
      <w:r>
        <w:rPr>
          <w:sz w:val="24"/>
          <w:szCs w:val="24"/>
        </w:rPr>
        <w:tab/>
      </w:r>
      <w:r>
        <w:rPr>
          <w:rFonts w:cs="Arial"/>
          <w:color w:val="3366FF"/>
          <w:sz w:val="24"/>
        </w:rPr>
        <w:tab/>
      </w:r>
      <w:r>
        <w:rPr>
          <w:rFonts w:cs="Arial"/>
          <w:color w:val="3366FF"/>
          <w:sz w:val="24"/>
        </w:rPr>
        <w:tab/>
        <w:t xml:space="preserve">         </w:t>
      </w:r>
      <w:bookmarkEnd w:id="89"/>
      <w:bookmarkEnd w:id="90"/>
    </w:p>
    <w:p w:rsidR="00AA4A0F" w:rsidRPr="00C63A74" w:rsidRDefault="00AA4A0F" w:rsidP="00AA4A0F">
      <w:r>
        <w:rPr>
          <w:rFonts w:cs="Arial"/>
          <w:szCs w:val="22"/>
        </w:rPr>
        <w:t>Pro pojištění elektroniky se ujednává, že se pojištění vztahuje i na zařízení, jejichž stáří v době vzniku škody přesáhlo 5 let.</w:t>
      </w:r>
    </w:p>
    <w:p w:rsidR="00AA4A0F" w:rsidRDefault="00AA4A0F" w:rsidP="00AA4A0F">
      <w:pPr>
        <w:pStyle w:val="Nadpis3"/>
        <w:numPr>
          <w:ilvl w:val="0"/>
          <w:numId w:val="15"/>
        </w:numPr>
        <w:tabs>
          <w:tab w:val="clear" w:pos="2340"/>
          <w:tab w:val="num" w:pos="1080"/>
        </w:tabs>
        <w:spacing w:line="240" w:lineRule="auto"/>
        <w:ind w:left="1080" w:hanging="1080"/>
        <w:rPr>
          <w:sz w:val="24"/>
          <w:szCs w:val="24"/>
        </w:rPr>
      </w:pPr>
      <w:bookmarkStart w:id="91" w:name="_Toc256786581"/>
      <w:bookmarkStart w:id="92" w:name="_Toc256786745"/>
      <w:r w:rsidRPr="00E75B00">
        <w:rPr>
          <w:sz w:val="24"/>
          <w:szCs w:val="24"/>
        </w:rPr>
        <w:t>Plnění pojistitele bez odečtu opotřebení</w:t>
      </w:r>
      <w:r>
        <w:rPr>
          <w:rFonts w:cs="Arial"/>
          <w:color w:val="3366FF"/>
          <w:sz w:val="24"/>
        </w:rPr>
        <w:tab/>
        <w:t xml:space="preserve">       </w:t>
      </w:r>
      <w:r>
        <w:rPr>
          <w:rFonts w:cs="Arial"/>
          <w:color w:val="3366FF"/>
          <w:sz w:val="24"/>
        </w:rPr>
        <w:tab/>
        <w:t xml:space="preserve"> </w:t>
      </w:r>
      <w:r>
        <w:rPr>
          <w:rFonts w:cs="Arial"/>
          <w:color w:val="3366FF"/>
          <w:sz w:val="24"/>
        </w:rPr>
        <w:tab/>
      </w:r>
      <w:bookmarkEnd w:id="91"/>
      <w:bookmarkEnd w:id="92"/>
    </w:p>
    <w:p w:rsidR="00AA4A0F" w:rsidRPr="007450AF" w:rsidRDefault="00AA4A0F" w:rsidP="00AA4A0F">
      <w:pPr>
        <w:rPr>
          <w:color w:val="auto"/>
        </w:rPr>
      </w:pPr>
      <w:r w:rsidRPr="007450AF">
        <w:rPr>
          <w:rFonts w:cs="Arial"/>
          <w:color w:val="auto"/>
          <w:szCs w:val="22"/>
        </w:rPr>
        <w:t>Zahrnuje-li pojištění i živelních rizik, pojistitel v případě poškození nebo zničení pojištěných věcí živelní událostí vyplatí náklad na znovupořízení věci nebo její části v době pojistné události sníženou o cenu případných zbytků bez odpočtu opotřebení.</w:t>
      </w:r>
    </w:p>
    <w:p w:rsidR="00AA4A0F" w:rsidRDefault="00AA4A0F" w:rsidP="00AA4A0F">
      <w:pPr>
        <w:pStyle w:val="Nadpis3"/>
        <w:numPr>
          <w:ilvl w:val="0"/>
          <w:numId w:val="15"/>
        </w:numPr>
        <w:tabs>
          <w:tab w:val="clear" w:pos="2340"/>
          <w:tab w:val="num" w:pos="1080"/>
        </w:tabs>
        <w:spacing w:line="240" w:lineRule="auto"/>
        <w:ind w:left="1080" w:hanging="1080"/>
        <w:rPr>
          <w:sz w:val="24"/>
          <w:szCs w:val="24"/>
        </w:rPr>
      </w:pPr>
      <w:bookmarkStart w:id="93" w:name="_Toc256786584"/>
      <w:bookmarkStart w:id="94" w:name="_Toc256786748"/>
      <w:r w:rsidRPr="00E75B00">
        <w:rPr>
          <w:sz w:val="24"/>
          <w:szCs w:val="24"/>
        </w:rPr>
        <w:t>Pojištění elektroniky – rozšíření pojistného krytí III</w:t>
      </w:r>
      <w:bookmarkEnd w:id="93"/>
      <w:bookmarkEnd w:id="94"/>
    </w:p>
    <w:p w:rsidR="00AA4A0F" w:rsidRPr="00C63A74" w:rsidRDefault="00AA4A0F" w:rsidP="00AA4A0F">
      <w:r>
        <w:rPr>
          <w:rFonts w:cs="Arial"/>
          <w:szCs w:val="22"/>
        </w:rPr>
        <w:t xml:space="preserve">Pojištění se vztahuje </w:t>
      </w:r>
      <w:proofErr w:type="gramStart"/>
      <w:r>
        <w:rPr>
          <w:rFonts w:cs="Arial"/>
          <w:szCs w:val="22"/>
        </w:rPr>
        <w:t>na  programové</w:t>
      </w:r>
      <w:proofErr w:type="gramEnd"/>
      <w:r>
        <w:rPr>
          <w:rFonts w:cs="Arial"/>
          <w:szCs w:val="22"/>
        </w:rPr>
        <w:t xml:space="preserve"> vybavení pojištěné věci (software), jestliže došlo k jeho zničení v souvislosti se zničením nebo poškozením pojištěné věci.</w:t>
      </w:r>
    </w:p>
    <w:p w:rsidR="00AA4A0F" w:rsidRDefault="00AA4A0F" w:rsidP="00AA4A0F">
      <w:pPr>
        <w:pStyle w:val="Nadpis3"/>
        <w:numPr>
          <w:ilvl w:val="0"/>
          <w:numId w:val="15"/>
        </w:numPr>
        <w:tabs>
          <w:tab w:val="clear" w:pos="2340"/>
          <w:tab w:val="num" w:pos="1080"/>
        </w:tabs>
        <w:spacing w:line="240" w:lineRule="auto"/>
        <w:ind w:left="1080" w:hanging="1080"/>
        <w:rPr>
          <w:sz w:val="24"/>
          <w:szCs w:val="24"/>
        </w:rPr>
      </w:pPr>
      <w:bookmarkStart w:id="95" w:name="_Toc256786588"/>
      <w:bookmarkStart w:id="96" w:name="_Toc256786752"/>
      <w:r w:rsidRPr="00E75B00">
        <w:rPr>
          <w:sz w:val="24"/>
          <w:szCs w:val="24"/>
        </w:rPr>
        <w:t>Omezení možnosti naturálního plnění</w:t>
      </w:r>
      <w:bookmarkEnd w:id="95"/>
      <w:bookmarkEnd w:id="96"/>
    </w:p>
    <w:p w:rsidR="00AA4A0F" w:rsidRDefault="00AA4A0F" w:rsidP="00AA4A0F">
      <w:pPr>
        <w:jc w:val="left"/>
        <w:rPr>
          <w:b/>
          <w:sz w:val="22"/>
          <w:szCs w:val="22"/>
        </w:rPr>
      </w:pPr>
      <w:r>
        <w:rPr>
          <w:rFonts w:cs="Arial"/>
          <w:szCs w:val="22"/>
        </w:rPr>
        <w:t>Pojistné plnění lze poskytnou pouze formou peněžité náhrady, nikoliv jako naturální plnění, pokud se obě smluvní strany nedohodnou jinak.</w:t>
      </w:r>
    </w:p>
    <w:p w:rsidR="008524B9" w:rsidRDefault="008524B9"/>
    <w:sectPr w:rsidR="008524B9" w:rsidSect="00BC3F1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58ECE7A8"/>
    <w:lvl w:ilvl="0">
      <w:start w:val="1"/>
      <w:numFmt w:val="decimal"/>
      <w:lvlText w:val="%1."/>
      <w:lvlJc w:val="left"/>
      <w:pPr>
        <w:tabs>
          <w:tab w:val="num" w:pos="643"/>
        </w:tabs>
        <w:ind w:left="643" w:hanging="360"/>
      </w:pPr>
    </w:lvl>
  </w:abstractNum>
  <w:abstractNum w:abstractNumId="1" w15:restartNumberingAfterBreak="0">
    <w:nsid w:val="FFFFFF88"/>
    <w:multiLevelType w:val="singleLevel"/>
    <w:tmpl w:val="695EAA34"/>
    <w:lvl w:ilvl="0">
      <w:start w:val="1"/>
      <w:numFmt w:val="decimal"/>
      <w:lvlText w:val="%1."/>
      <w:lvlJc w:val="left"/>
      <w:pPr>
        <w:tabs>
          <w:tab w:val="num" w:pos="360"/>
        </w:tabs>
        <w:ind w:left="360" w:hanging="360"/>
      </w:pPr>
    </w:lvl>
  </w:abstractNum>
  <w:abstractNum w:abstractNumId="2" w15:restartNumberingAfterBreak="0">
    <w:nsid w:val="FFFFFF89"/>
    <w:multiLevelType w:val="singleLevel"/>
    <w:tmpl w:val="086C8B44"/>
    <w:lvl w:ilvl="0">
      <w:start w:val="1"/>
      <w:numFmt w:val="bullet"/>
      <w:pStyle w:val="Seznamsodrkami"/>
      <w:lvlText w:val=""/>
      <w:lvlJc w:val="left"/>
      <w:pPr>
        <w:tabs>
          <w:tab w:val="num" w:pos="360"/>
        </w:tabs>
        <w:ind w:left="360" w:hanging="360"/>
      </w:pPr>
      <w:rPr>
        <w:rFonts w:ascii="Wingdings" w:hAnsi="Wingdings" w:hint="default"/>
        <w:sz w:val="24"/>
      </w:rPr>
    </w:lvl>
  </w:abstractNum>
  <w:abstractNum w:abstractNumId="3" w15:restartNumberingAfterBreak="0">
    <w:nsid w:val="04E14C81"/>
    <w:multiLevelType w:val="multilevel"/>
    <w:tmpl w:val="F51E2ED6"/>
    <w:lvl w:ilvl="0">
      <w:start w:val="2"/>
      <w:numFmt w:val="decimal"/>
      <w:lvlText w:val="%1."/>
      <w:lvlJc w:val="left"/>
      <w:pPr>
        <w:ind w:left="540" w:hanging="540"/>
      </w:pPr>
      <w:rPr>
        <w:rFonts w:hint="default"/>
      </w:rPr>
    </w:lvl>
    <w:lvl w:ilvl="1">
      <w:start w:val="1"/>
      <w:numFmt w:val="decimal"/>
      <w:lvlText w:val="%1.%2."/>
      <w:lvlJc w:val="left"/>
      <w:pPr>
        <w:ind w:left="720" w:hanging="720"/>
      </w:pPr>
      <w:rPr>
        <w:rFonts w:hint="default"/>
        <w:color w:val="auto"/>
      </w:rPr>
    </w:lvl>
    <w:lvl w:ilvl="2">
      <w:start w:val="1"/>
      <w:numFmt w:val="decimal"/>
      <w:lvlText w:val="%1.%2.%3."/>
      <w:lvlJc w:val="left"/>
      <w:pPr>
        <w:ind w:left="1080" w:hanging="1080"/>
      </w:pPr>
      <w:rPr>
        <w:rFonts w:hint="default"/>
        <w:b w:val="0"/>
        <w:i w:val="0"/>
        <w:color w:val="auto"/>
      </w:rPr>
    </w:lvl>
    <w:lvl w:ilvl="3">
      <w:start w:val="1"/>
      <w:numFmt w:val="decimal"/>
      <w:lvlText w:val="%1.%2.%3.%4."/>
      <w:lvlJc w:val="left"/>
      <w:pPr>
        <w:ind w:left="1931" w:hanging="1080"/>
      </w:pPr>
      <w:rPr>
        <w:rFonts w:hint="default"/>
        <w:b w:val="0"/>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4" w15:restartNumberingAfterBreak="0">
    <w:nsid w:val="1A0274DD"/>
    <w:multiLevelType w:val="multilevel"/>
    <w:tmpl w:val="271CCF9A"/>
    <w:lvl w:ilvl="0">
      <w:start w:val="1"/>
      <w:numFmt w:val="decimal"/>
      <w:lvlText w:val="%1)"/>
      <w:lvlJc w:val="left"/>
      <w:pPr>
        <w:tabs>
          <w:tab w:val="num" w:pos="643"/>
        </w:tabs>
        <w:ind w:left="643" w:hanging="360"/>
      </w:pPr>
      <w:rPr>
        <w:rFonts w:hint="default"/>
      </w:rPr>
    </w:lvl>
    <w:lvl w:ilvl="1">
      <w:start w:val="1"/>
      <w:numFmt w:val="lowerLetter"/>
      <w:pStyle w:val="slovanseznam2"/>
      <w:lvlText w:val="%2)"/>
      <w:lvlJc w:val="left"/>
      <w:pPr>
        <w:tabs>
          <w:tab w:val="num" w:pos="1003"/>
        </w:tabs>
        <w:ind w:left="1003" w:hanging="360"/>
      </w:pPr>
      <w:rPr>
        <w:rFonts w:hint="default"/>
      </w:rPr>
    </w:lvl>
    <w:lvl w:ilvl="2">
      <w:start w:val="1"/>
      <w:numFmt w:val="lowerRoman"/>
      <w:lvlText w:val="%3)"/>
      <w:lvlJc w:val="left"/>
      <w:pPr>
        <w:tabs>
          <w:tab w:val="num" w:pos="1363"/>
        </w:tabs>
        <w:ind w:left="1363" w:hanging="360"/>
      </w:pPr>
      <w:rPr>
        <w:rFonts w:hint="default"/>
      </w:rPr>
    </w:lvl>
    <w:lvl w:ilvl="3">
      <w:start w:val="1"/>
      <w:numFmt w:val="decimal"/>
      <w:lvlText w:val="(%4)"/>
      <w:lvlJc w:val="left"/>
      <w:pPr>
        <w:tabs>
          <w:tab w:val="num" w:pos="1723"/>
        </w:tabs>
        <w:ind w:left="1723" w:hanging="360"/>
      </w:pPr>
      <w:rPr>
        <w:rFonts w:hint="default"/>
      </w:rPr>
    </w:lvl>
    <w:lvl w:ilvl="4">
      <w:start w:val="1"/>
      <w:numFmt w:val="lowerLetter"/>
      <w:lvlText w:val="(%5)"/>
      <w:lvlJc w:val="left"/>
      <w:pPr>
        <w:tabs>
          <w:tab w:val="num" w:pos="2083"/>
        </w:tabs>
        <w:ind w:left="2083" w:hanging="360"/>
      </w:pPr>
      <w:rPr>
        <w:rFonts w:hint="default"/>
      </w:rPr>
    </w:lvl>
    <w:lvl w:ilvl="5">
      <w:numFmt w:val="none"/>
      <w:lvlText w:val=""/>
      <w:lvlJc w:val="left"/>
      <w:pPr>
        <w:tabs>
          <w:tab w:val="num" w:pos="360"/>
        </w:tabs>
      </w:pPr>
    </w:lvl>
    <w:lvl w:ilvl="6">
      <w:start w:val="1"/>
      <w:numFmt w:val="decimal"/>
      <w:lvlText w:val="%7."/>
      <w:lvlJc w:val="left"/>
      <w:pPr>
        <w:tabs>
          <w:tab w:val="num" w:pos="2803"/>
        </w:tabs>
        <w:ind w:left="2803" w:hanging="360"/>
      </w:pPr>
      <w:rPr>
        <w:rFonts w:hint="default"/>
      </w:rPr>
    </w:lvl>
    <w:lvl w:ilvl="7">
      <w:start w:val="1"/>
      <w:numFmt w:val="lowerLetter"/>
      <w:lvlText w:val="%8."/>
      <w:lvlJc w:val="left"/>
      <w:pPr>
        <w:tabs>
          <w:tab w:val="num" w:pos="3163"/>
        </w:tabs>
        <w:ind w:left="3163" w:hanging="360"/>
      </w:pPr>
      <w:rPr>
        <w:rFonts w:hint="default"/>
      </w:rPr>
    </w:lvl>
    <w:lvl w:ilvl="8">
      <w:start w:val="1"/>
      <w:numFmt w:val="lowerRoman"/>
      <w:lvlText w:val="%9."/>
      <w:lvlJc w:val="left"/>
      <w:pPr>
        <w:tabs>
          <w:tab w:val="num" w:pos="3523"/>
        </w:tabs>
        <w:ind w:left="3523" w:hanging="360"/>
      </w:pPr>
      <w:rPr>
        <w:rFonts w:hint="default"/>
      </w:rPr>
    </w:lvl>
  </w:abstractNum>
  <w:abstractNum w:abstractNumId="5" w15:restartNumberingAfterBreak="0">
    <w:nsid w:val="29560428"/>
    <w:multiLevelType w:val="multilevel"/>
    <w:tmpl w:val="E7CC3C2E"/>
    <w:lvl w:ilvl="0">
      <w:start w:val="1"/>
      <w:numFmt w:val="decimal"/>
      <w:pStyle w:val="Nadpis1"/>
      <w:suff w:val="space"/>
      <w:lvlText w:val="%1. "/>
      <w:lvlJc w:val="left"/>
      <w:pPr>
        <w:ind w:left="432" w:hanging="432"/>
      </w:pPr>
      <w:rPr>
        <w:rFonts w:hint="default"/>
      </w:rPr>
    </w:lvl>
    <w:lvl w:ilvl="1">
      <w:start w:val="1"/>
      <w:numFmt w:val="decimal"/>
      <w:pStyle w:val="Nadpis2"/>
      <w:suff w:val="space"/>
      <w:lvlText w:val="%1.%2 "/>
      <w:lvlJc w:val="left"/>
      <w:pPr>
        <w:ind w:left="576" w:hanging="576"/>
      </w:pPr>
      <w:rPr>
        <w:rFonts w:hint="default"/>
      </w:rPr>
    </w:lvl>
    <w:lvl w:ilvl="2">
      <w:start w:val="1"/>
      <w:numFmt w:val="decimal"/>
      <w:pStyle w:val="Nadpis3"/>
      <w:suff w:val="space"/>
      <w:lvlText w:val="%1.%2.%3 "/>
      <w:lvlJc w:val="left"/>
      <w:pPr>
        <w:ind w:left="720" w:hanging="720"/>
      </w:pPr>
      <w:rPr>
        <w:rFonts w:hint="default"/>
      </w:rPr>
    </w:lvl>
    <w:lvl w:ilvl="3">
      <w:start w:val="1"/>
      <w:numFmt w:val="decimal"/>
      <w:suff w:val="space"/>
      <w:lvlText w:val="%1.%2.%3.%4 "/>
      <w:lvlJc w:val="left"/>
      <w:pPr>
        <w:ind w:left="864" w:hanging="864"/>
      </w:pPr>
      <w:rPr>
        <w:rFonts w:hint="default"/>
      </w:rPr>
    </w:lvl>
    <w:lvl w:ilvl="4">
      <w:start w:val="1"/>
      <w:numFmt w:val="decimal"/>
      <w:suff w:val="space"/>
      <w:lvlText w:val="%1.%2.%3.%4.%5 "/>
      <w:lvlJc w:val="left"/>
      <w:pPr>
        <w:ind w:left="1008" w:hanging="1008"/>
      </w:pPr>
      <w:rPr>
        <w:rFonts w:hint="default"/>
      </w:rPr>
    </w:lvl>
    <w:lvl w:ilvl="5">
      <w:start w:val="1"/>
      <w:numFmt w:val="decimal"/>
      <w:suff w:val="space"/>
      <w:lvlText w:val="%1.%2.%3.%4.%5.%6 "/>
      <w:lvlJc w:val="left"/>
      <w:pPr>
        <w:ind w:left="1152" w:hanging="1152"/>
      </w:pPr>
      <w:rPr>
        <w:rFonts w:hint="default"/>
      </w:rPr>
    </w:lvl>
    <w:lvl w:ilvl="6">
      <w:start w:val="1"/>
      <w:numFmt w:val="decimal"/>
      <w:suff w:val="space"/>
      <w:lvlText w:val="%1.%2.%3.%4.%5.%6.%7 "/>
      <w:lvlJc w:val="left"/>
      <w:pPr>
        <w:ind w:left="1296" w:hanging="1296"/>
      </w:pPr>
      <w:rPr>
        <w:rFonts w:hint="default"/>
      </w:rPr>
    </w:lvl>
    <w:lvl w:ilvl="7">
      <w:start w:val="1"/>
      <w:numFmt w:val="decimal"/>
      <w:suff w:val="space"/>
      <w:lvlText w:val="%1.%2.%3.%4.%5.%6.%7.%8 "/>
      <w:lvlJc w:val="left"/>
      <w:pPr>
        <w:ind w:left="1440" w:hanging="1440"/>
      </w:pPr>
      <w:rPr>
        <w:rFonts w:hint="default"/>
      </w:rPr>
    </w:lvl>
    <w:lvl w:ilvl="8">
      <w:start w:val="1"/>
      <w:numFmt w:val="decimal"/>
      <w:suff w:val="space"/>
      <w:lvlText w:val="%1.%2.%3.%4.%5.%6.%7.%8.%9 "/>
      <w:lvlJc w:val="left"/>
      <w:pPr>
        <w:ind w:left="1584" w:hanging="1584"/>
      </w:pPr>
      <w:rPr>
        <w:rFonts w:hint="default"/>
      </w:rPr>
    </w:lvl>
  </w:abstractNum>
  <w:abstractNum w:abstractNumId="6" w15:restartNumberingAfterBreak="0">
    <w:nsid w:val="2A9E22B0"/>
    <w:multiLevelType w:val="hybridMultilevel"/>
    <w:tmpl w:val="C5B67198"/>
    <w:lvl w:ilvl="0" w:tplc="A0F66AD4">
      <w:start w:val="1"/>
      <w:numFmt w:val="decimal"/>
      <w:lvlText w:val="RPD%1."/>
      <w:lvlJc w:val="left"/>
      <w:pPr>
        <w:tabs>
          <w:tab w:val="num" w:pos="3780"/>
        </w:tabs>
        <w:ind w:left="3780" w:hanging="360"/>
      </w:pPr>
      <w:rPr>
        <w:rFonts w:ascii="Arial" w:hAnsi="Arial" w:hint="default"/>
        <w:b/>
        <w:i w:val="0"/>
        <w:sz w:val="24"/>
      </w:rPr>
    </w:lvl>
    <w:lvl w:ilvl="1" w:tplc="04050019">
      <w:start w:val="1"/>
      <w:numFmt w:val="lowerLetter"/>
      <w:lvlText w:val="%2."/>
      <w:lvlJc w:val="left"/>
      <w:pPr>
        <w:tabs>
          <w:tab w:val="num" w:pos="1440"/>
        </w:tabs>
        <w:ind w:left="1440" w:hanging="360"/>
      </w:pPr>
    </w:lvl>
    <w:lvl w:ilvl="2" w:tplc="A0F66AD4">
      <w:start w:val="1"/>
      <w:numFmt w:val="decimal"/>
      <w:lvlText w:val="RPD%3."/>
      <w:lvlJc w:val="left"/>
      <w:pPr>
        <w:tabs>
          <w:tab w:val="num" w:pos="2340"/>
        </w:tabs>
        <w:ind w:left="2340" w:hanging="360"/>
      </w:pPr>
      <w:rPr>
        <w:rFonts w:ascii="Arial" w:hAnsi="Arial" w:hint="default"/>
        <w:b/>
        <w:i w:val="0"/>
        <w:sz w:val="24"/>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2F7D14B8"/>
    <w:multiLevelType w:val="hybridMultilevel"/>
    <w:tmpl w:val="33CEE9DA"/>
    <w:lvl w:ilvl="0" w:tplc="E8246588">
      <w:start w:val="1"/>
      <w:numFmt w:val="decimal"/>
      <w:lvlText w:val="REEI%1."/>
      <w:lvlJc w:val="left"/>
      <w:pPr>
        <w:tabs>
          <w:tab w:val="num" w:pos="2340"/>
        </w:tabs>
        <w:ind w:left="2340" w:hanging="360"/>
      </w:pPr>
      <w:rPr>
        <w:rFonts w:ascii="Arial" w:hAnsi="Arial" w:hint="default"/>
        <w:b/>
        <w:i w:val="0"/>
        <w:sz w:val="24"/>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313F7438"/>
    <w:multiLevelType w:val="hybridMultilevel"/>
    <w:tmpl w:val="BB8EB090"/>
    <w:lvl w:ilvl="0" w:tplc="F9A0F6F2">
      <w:start w:val="1"/>
      <w:numFmt w:val="decimal"/>
      <w:lvlText w:val="RMB%1."/>
      <w:lvlJc w:val="left"/>
      <w:pPr>
        <w:tabs>
          <w:tab w:val="num" w:pos="2340"/>
        </w:tabs>
        <w:ind w:left="2340" w:hanging="360"/>
      </w:pPr>
      <w:rPr>
        <w:rFonts w:ascii="Arial" w:hAnsi="Arial" w:hint="default"/>
        <w:b/>
        <w:i w:val="0"/>
        <w:sz w:val="24"/>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477F1271"/>
    <w:multiLevelType w:val="hybridMultilevel"/>
    <w:tmpl w:val="EA64B65C"/>
    <w:lvl w:ilvl="0" w:tplc="0D28FAC4">
      <w:start w:val="1"/>
      <w:numFmt w:val="decimal"/>
      <w:lvlText w:val="RBI%1."/>
      <w:lvlJc w:val="left"/>
      <w:pPr>
        <w:tabs>
          <w:tab w:val="num" w:pos="2340"/>
        </w:tabs>
        <w:ind w:left="2340" w:hanging="360"/>
      </w:pPr>
      <w:rPr>
        <w:rFonts w:ascii="Arial" w:hAnsi="Arial" w:hint="default"/>
        <w:b/>
        <w:i w:val="0"/>
        <w:color w:val="283164"/>
        <w:sz w:val="24"/>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4CA631EC"/>
    <w:multiLevelType w:val="multilevel"/>
    <w:tmpl w:val="63EE06D6"/>
    <w:lvl w:ilvl="0">
      <w:start w:val="1"/>
      <w:numFmt w:val="decimal"/>
      <w:pStyle w:val="slovanseznam"/>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63DD50F7"/>
    <w:multiLevelType w:val="multilevel"/>
    <w:tmpl w:val="E4F07582"/>
    <w:lvl w:ilvl="0">
      <w:start w:val="1"/>
      <w:numFmt w:val="decimal"/>
      <w:lvlText w:val="%1."/>
      <w:lvlJc w:val="left"/>
      <w:pPr>
        <w:tabs>
          <w:tab w:val="num" w:pos="431"/>
        </w:tabs>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num w:numId="1">
    <w:abstractNumId w:val="1"/>
  </w:num>
  <w:num w:numId="2">
    <w:abstractNumId w:val="10"/>
  </w:num>
  <w:num w:numId="3">
    <w:abstractNumId w:val="5"/>
  </w:num>
  <w:num w:numId="4">
    <w:abstractNumId w:val="5"/>
  </w:num>
  <w:num w:numId="5">
    <w:abstractNumId w:val="5"/>
  </w:num>
  <w:num w:numId="6">
    <w:abstractNumId w:val="0"/>
  </w:num>
  <w:num w:numId="7">
    <w:abstractNumId w:val="4"/>
  </w:num>
  <w:num w:numId="8">
    <w:abstractNumId w:val="2"/>
  </w:num>
  <w:num w:numId="9">
    <w:abstractNumId w:val="2"/>
  </w:num>
  <w:num w:numId="10">
    <w:abstractNumId w:val="11"/>
  </w:num>
  <w:num w:numId="11">
    <w:abstractNumId w:val="3"/>
  </w:num>
  <w:num w:numId="12">
    <w:abstractNumId w:val="6"/>
  </w:num>
  <w:num w:numId="13">
    <w:abstractNumId w:val="9"/>
  </w:num>
  <w:num w:numId="14">
    <w:abstractNumId w:val="8"/>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4A0F"/>
    <w:rsid w:val="00003285"/>
    <w:rsid w:val="000E365F"/>
    <w:rsid w:val="000F6949"/>
    <w:rsid w:val="0015110A"/>
    <w:rsid w:val="001A6F0E"/>
    <w:rsid w:val="00256F10"/>
    <w:rsid w:val="002776E5"/>
    <w:rsid w:val="00283ECD"/>
    <w:rsid w:val="00317016"/>
    <w:rsid w:val="003B17E5"/>
    <w:rsid w:val="003D4888"/>
    <w:rsid w:val="004340BD"/>
    <w:rsid w:val="00497D94"/>
    <w:rsid w:val="004A5503"/>
    <w:rsid w:val="00531461"/>
    <w:rsid w:val="005F74B3"/>
    <w:rsid w:val="006B399C"/>
    <w:rsid w:val="006E55E7"/>
    <w:rsid w:val="00716DF9"/>
    <w:rsid w:val="007428B0"/>
    <w:rsid w:val="007A5B0F"/>
    <w:rsid w:val="007D4C11"/>
    <w:rsid w:val="008524B9"/>
    <w:rsid w:val="008D759F"/>
    <w:rsid w:val="008F57E7"/>
    <w:rsid w:val="008F61AF"/>
    <w:rsid w:val="008F79D1"/>
    <w:rsid w:val="00A3678A"/>
    <w:rsid w:val="00A43AD8"/>
    <w:rsid w:val="00AA4A0F"/>
    <w:rsid w:val="00B538D3"/>
    <w:rsid w:val="00BC3F1E"/>
    <w:rsid w:val="00C96950"/>
    <w:rsid w:val="00D36C10"/>
    <w:rsid w:val="00D7148D"/>
    <w:rsid w:val="00DD609B"/>
    <w:rsid w:val="00E3306C"/>
    <w:rsid w:val="00F200B0"/>
    <w:rsid w:val="00F46B2F"/>
    <w:rsid w:val="00F845C2"/>
    <w:rsid w:val="00FD2B4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19BE687"/>
  <w15:chartTrackingRefBased/>
  <w15:docId w15:val="{A18B5B26-1D9E-4ED5-BD25-99B4753037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4">
    <w:lsdException w:name="Normal" w:qFormat="1"/>
    <w:lsdException w:name="heading 1" w:qFormat="1"/>
    <w:lsdException w:name="heading 2" w:qFormat="1"/>
    <w:lsdException w:name="heading 3" w:uiPriority="9"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ln">
    <w:name w:val="Normal"/>
    <w:qFormat/>
    <w:rsid w:val="00AA4A0F"/>
    <w:pPr>
      <w:spacing w:line="280" w:lineRule="atLeast"/>
      <w:jc w:val="both"/>
    </w:pPr>
    <w:rPr>
      <w:rFonts w:ascii="Arial" w:eastAsia="Calibri" w:hAnsi="Arial"/>
      <w:color w:val="000000"/>
      <w:sz w:val="18"/>
      <w:lang w:eastAsia="en-US"/>
    </w:rPr>
  </w:style>
  <w:style w:type="paragraph" w:styleId="Nadpis1">
    <w:name w:val="heading 1"/>
    <w:basedOn w:val="Normln"/>
    <w:next w:val="Normln"/>
    <w:link w:val="Nadpis1Char"/>
    <w:qFormat/>
    <w:rsid w:val="008524B9"/>
    <w:pPr>
      <w:widowControl w:val="0"/>
      <w:numPr>
        <w:numId w:val="5"/>
      </w:numPr>
      <w:spacing w:after="220"/>
      <w:jc w:val="left"/>
      <w:outlineLvl w:val="0"/>
    </w:pPr>
    <w:rPr>
      <w:rFonts w:cs="Arial"/>
      <w:b/>
      <w:noProof/>
      <w:color w:val="283164"/>
      <w:sz w:val="32"/>
    </w:rPr>
  </w:style>
  <w:style w:type="paragraph" w:styleId="Nadpis2">
    <w:name w:val="heading 2"/>
    <w:basedOn w:val="Normln"/>
    <w:next w:val="Normln"/>
    <w:link w:val="Nadpis2Char"/>
    <w:qFormat/>
    <w:rsid w:val="008524B9"/>
    <w:pPr>
      <w:widowControl w:val="0"/>
      <w:numPr>
        <w:ilvl w:val="1"/>
        <w:numId w:val="5"/>
      </w:numPr>
      <w:spacing w:before="220" w:after="220"/>
      <w:outlineLvl w:val="1"/>
    </w:pPr>
    <w:rPr>
      <w:b/>
      <w:color w:val="283164"/>
      <w:sz w:val="28"/>
    </w:rPr>
  </w:style>
  <w:style w:type="paragraph" w:styleId="Nadpis3">
    <w:name w:val="heading 3"/>
    <w:basedOn w:val="Normln"/>
    <w:next w:val="Normln"/>
    <w:link w:val="Nadpis3Char"/>
    <w:uiPriority w:val="9"/>
    <w:qFormat/>
    <w:rsid w:val="008524B9"/>
    <w:pPr>
      <w:keepNext/>
      <w:numPr>
        <w:ilvl w:val="2"/>
        <w:numId w:val="5"/>
      </w:numPr>
      <w:spacing w:before="220" w:after="220"/>
      <w:outlineLvl w:val="2"/>
    </w:pPr>
    <w:rPr>
      <w:b/>
      <w:color w:val="283164"/>
      <w:szCs w:val="22"/>
    </w:rPr>
  </w:style>
  <w:style w:type="paragraph" w:styleId="Nadpis5">
    <w:name w:val="heading 5"/>
    <w:basedOn w:val="Normln"/>
    <w:next w:val="Normln"/>
    <w:link w:val="Nadpis5Char"/>
    <w:uiPriority w:val="9"/>
    <w:qFormat/>
    <w:rsid w:val="00AA4A0F"/>
    <w:pPr>
      <w:spacing w:before="240" w:after="60"/>
      <w:ind w:left="1008" w:hanging="1008"/>
      <w:outlineLvl w:val="4"/>
    </w:pPr>
    <w:rPr>
      <w:rFonts w:ascii="Calibri" w:eastAsia="Times New Roman" w:hAnsi="Calibri"/>
      <w:b/>
      <w:bCs/>
      <w:i/>
      <w:iCs/>
      <w:sz w:val="26"/>
      <w:szCs w:val="26"/>
    </w:rPr>
  </w:style>
  <w:style w:type="paragraph" w:styleId="Nadpis6">
    <w:name w:val="heading 6"/>
    <w:basedOn w:val="Normln"/>
    <w:next w:val="Normln"/>
    <w:link w:val="Nadpis6Char"/>
    <w:uiPriority w:val="9"/>
    <w:qFormat/>
    <w:rsid w:val="00AA4A0F"/>
    <w:pPr>
      <w:spacing w:before="240" w:after="60"/>
      <w:ind w:left="1152" w:hanging="1152"/>
      <w:outlineLvl w:val="5"/>
    </w:pPr>
    <w:rPr>
      <w:rFonts w:ascii="Calibri" w:eastAsia="Times New Roman" w:hAnsi="Calibri"/>
      <w:b/>
      <w:bCs/>
      <w:sz w:val="22"/>
      <w:szCs w:val="22"/>
    </w:rPr>
  </w:style>
  <w:style w:type="paragraph" w:styleId="Nadpis7">
    <w:name w:val="heading 7"/>
    <w:basedOn w:val="Normln"/>
    <w:next w:val="Normln"/>
    <w:link w:val="Nadpis7Char"/>
    <w:uiPriority w:val="9"/>
    <w:qFormat/>
    <w:rsid w:val="00AA4A0F"/>
    <w:pPr>
      <w:spacing w:before="240" w:after="60"/>
      <w:ind w:left="1296" w:hanging="1296"/>
      <w:outlineLvl w:val="6"/>
    </w:pPr>
    <w:rPr>
      <w:rFonts w:ascii="Calibri" w:eastAsia="Times New Roman" w:hAnsi="Calibri"/>
      <w:sz w:val="24"/>
      <w:szCs w:val="24"/>
    </w:rPr>
  </w:style>
  <w:style w:type="paragraph" w:styleId="Nadpis8">
    <w:name w:val="heading 8"/>
    <w:basedOn w:val="Normln"/>
    <w:next w:val="Normln"/>
    <w:link w:val="Nadpis8Char"/>
    <w:uiPriority w:val="9"/>
    <w:qFormat/>
    <w:rsid w:val="00AA4A0F"/>
    <w:pPr>
      <w:spacing w:before="240" w:after="60"/>
      <w:ind w:left="1440" w:hanging="1440"/>
      <w:outlineLvl w:val="7"/>
    </w:pPr>
    <w:rPr>
      <w:rFonts w:ascii="Calibri" w:eastAsia="Times New Roman" w:hAnsi="Calibri"/>
      <w:i/>
      <w:iCs/>
      <w:sz w:val="24"/>
      <w:szCs w:val="24"/>
    </w:rPr>
  </w:style>
  <w:style w:type="paragraph" w:styleId="Nadpis9">
    <w:name w:val="heading 9"/>
    <w:basedOn w:val="Normln"/>
    <w:next w:val="Normln"/>
    <w:link w:val="Nadpis9Char"/>
    <w:uiPriority w:val="9"/>
    <w:qFormat/>
    <w:rsid w:val="00AA4A0F"/>
    <w:pPr>
      <w:spacing w:before="240" w:after="60"/>
      <w:ind w:left="1584" w:hanging="1584"/>
      <w:outlineLvl w:val="8"/>
    </w:pPr>
    <w:rPr>
      <w:rFonts w:ascii="Cambria" w:eastAsia="Times New Roman"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slovanseznam">
    <w:name w:val="List Number"/>
    <w:basedOn w:val="Normln"/>
    <w:rsid w:val="008524B9"/>
    <w:pPr>
      <w:numPr>
        <w:numId w:val="2"/>
      </w:numPr>
    </w:pPr>
  </w:style>
  <w:style w:type="paragraph" w:styleId="Nzev">
    <w:name w:val="Title"/>
    <w:basedOn w:val="Normln"/>
    <w:next w:val="Normln"/>
    <w:qFormat/>
    <w:rsid w:val="008524B9"/>
    <w:pPr>
      <w:spacing w:before="120"/>
      <w:jc w:val="center"/>
    </w:pPr>
    <w:rPr>
      <w:b/>
      <w:color w:val="283164"/>
      <w:sz w:val="32"/>
      <w:szCs w:val="28"/>
    </w:rPr>
  </w:style>
  <w:style w:type="paragraph" w:styleId="slovanseznam2">
    <w:name w:val="List Number 2"/>
    <w:basedOn w:val="Normln"/>
    <w:rsid w:val="008524B9"/>
    <w:pPr>
      <w:numPr>
        <w:ilvl w:val="1"/>
        <w:numId w:val="7"/>
      </w:numPr>
    </w:pPr>
  </w:style>
  <w:style w:type="paragraph" w:styleId="Seznamsodrkami">
    <w:name w:val="List Bullet"/>
    <w:basedOn w:val="Normln"/>
    <w:rsid w:val="008524B9"/>
    <w:pPr>
      <w:numPr>
        <w:numId w:val="9"/>
      </w:numPr>
    </w:pPr>
  </w:style>
  <w:style w:type="character" w:customStyle="1" w:styleId="Nadpis5Char">
    <w:name w:val="Nadpis 5 Char"/>
    <w:basedOn w:val="Standardnpsmoodstavce"/>
    <w:link w:val="Nadpis5"/>
    <w:uiPriority w:val="9"/>
    <w:rsid w:val="00AA4A0F"/>
    <w:rPr>
      <w:rFonts w:ascii="Calibri" w:hAnsi="Calibri"/>
      <w:b/>
      <w:bCs/>
      <w:i/>
      <w:iCs/>
      <w:color w:val="000000"/>
      <w:sz w:val="26"/>
      <w:szCs w:val="26"/>
      <w:lang w:eastAsia="en-US"/>
    </w:rPr>
  </w:style>
  <w:style w:type="character" w:customStyle="1" w:styleId="Nadpis6Char">
    <w:name w:val="Nadpis 6 Char"/>
    <w:basedOn w:val="Standardnpsmoodstavce"/>
    <w:link w:val="Nadpis6"/>
    <w:uiPriority w:val="9"/>
    <w:rsid w:val="00AA4A0F"/>
    <w:rPr>
      <w:rFonts w:ascii="Calibri" w:hAnsi="Calibri"/>
      <w:b/>
      <w:bCs/>
      <w:color w:val="000000"/>
      <w:sz w:val="22"/>
      <w:szCs w:val="22"/>
      <w:lang w:eastAsia="en-US"/>
    </w:rPr>
  </w:style>
  <w:style w:type="character" w:customStyle="1" w:styleId="Nadpis7Char">
    <w:name w:val="Nadpis 7 Char"/>
    <w:basedOn w:val="Standardnpsmoodstavce"/>
    <w:link w:val="Nadpis7"/>
    <w:uiPriority w:val="9"/>
    <w:rsid w:val="00AA4A0F"/>
    <w:rPr>
      <w:rFonts w:ascii="Calibri" w:hAnsi="Calibri"/>
      <w:color w:val="000000"/>
      <w:sz w:val="24"/>
      <w:szCs w:val="24"/>
      <w:lang w:eastAsia="en-US"/>
    </w:rPr>
  </w:style>
  <w:style w:type="character" w:customStyle="1" w:styleId="Nadpis8Char">
    <w:name w:val="Nadpis 8 Char"/>
    <w:basedOn w:val="Standardnpsmoodstavce"/>
    <w:link w:val="Nadpis8"/>
    <w:uiPriority w:val="9"/>
    <w:rsid w:val="00AA4A0F"/>
    <w:rPr>
      <w:rFonts w:ascii="Calibri" w:hAnsi="Calibri"/>
      <w:i/>
      <w:iCs/>
      <w:color w:val="000000"/>
      <w:sz w:val="24"/>
      <w:szCs w:val="24"/>
      <w:lang w:eastAsia="en-US"/>
    </w:rPr>
  </w:style>
  <w:style w:type="character" w:customStyle="1" w:styleId="Nadpis9Char">
    <w:name w:val="Nadpis 9 Char"/>
    <w:basedOn w:val="Standardnpsmoodstavce"/>
    <w:link w:val="Nadpis9"/>
    <w:uiPriority w:val="9"/>
    <w:rsid w:val="00AA4A0F"/>
    <w:rPr>
      <w:rFonts w:ascii="Cambria" w:hAnsi="Cambria"/>
      <w:color w:val="000000"/>
      <w:sz w:val="22"/>
      <w:szCs w:val="22"/>
      <w:lang w:eastAsia="en-US"/>
    </w:rPr>
  </w:style>
  <w:style w:type="character" w:customStyle="1" w:styleId="Nadpis1Char">
    <w:name w:val="Nadpis 1 Char"/>
    <w:link w:val="Nadpis1"/>
    <w:rsid w:val="00AA4A0F"/>
    <w:rPr>
      <w:rFonts w:ascii="Arial" w:hAnsi="Arial" w:cs="Arial"/>
      <w:b/>
      <w:noProof/>
      <w:color w:val="283164"/>
      <w:sz w:val="32"/>
    </w:rPr>
  </w:style>
  <w:style w:type="character" w:customStyle="1" w:styleId="Nadpis2Char">
    <w:name w:val="Nadpis 2 Char"/>
    <w:link w:val="Nadpis2"/>
    <w:rsid w:val="00AA4A0F"/>
    <w:rPr>
      <w:rFonts w:ascii="Arial" w:hAnsi="Arial"/>
      <w:b/>
      <w:color w:val="283164"/>
      <w:sz w:val="28"/>
    </w:rPr>
  </w:style>
  <w:style w:type="character" w:customStyle="1" w:styleId="Nadpis3Char">
    <w:name w:val="Nadpis 3 Char"/>
    <w:link w:val="Nadpis3"/>
    <w:uiPriority w:val="9"/>
    <w:rsid w:val="00AA4A0F"/>
    <w:rPr>
      <w:rFonts w:ascii="Arial" w:hAnsi="Arial"/>
      <w:b/>
      <w:color w:val="283164"/>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BD1598-C38D-4B84-81B5-5FDE22BB8F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Pages>
  <Words>2334</Words>
  <Characters>14620</Characters>
  <Application>Microsoft Office Word</Application>
  <DocSecurity>0</DocSecurity>
  <Lines>121</Lines>
  <Paragraphs>33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16921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Nováková Petra</dc:creator>
  <cp:keywords/>
  <dc:description/>
  <cp:lastModifiedBy>Nováková Petra</cp:lastModifiedBy>
  <cp:revision>2</cp:revision>
  <dcterms:created xsi:type="dcterms:W3CDTF">2017-06-23T11:49:00Z</dcterms:created>
  <dcterms:modified xsi:type="dcterms:W3CDTF">2017-08-23T10:46:00Z</dcterms:modified>
</cp:coreProperties>
</file>